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43" w:rsidRPr="009B143A" w:rsidRDefault="00CF4943" w:rsidP="00EA3039">
      <w:pPr>
        <w:jc w:val="center"/>
        <w:rPr>
          <w:b/>
          <w:szCs w:val="22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-537845</wp:posOffset>
            </wp:positionV>
            <wp:extent cx="609600" cy="77533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Cs w:val="22"/>
        </w:rPr>
        <w:t>СОВЕТ ДЕПУТАТОВ МУНИЦИПАЛЬНОГО ОБРАЗОВАНИЯ</w:t>
      </w:r>
    </w:p>
    <w:p w:rsidR="00CF4943" w:rsidRPr="009B143A" w:rsidRDefault="00CF4943" w:rsidP="00EA3039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CF4943" w:rsidRPr="009B143A" w:rsidRDefault="00CF4943" w:rsidP="00EA3039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CF4943" w:rsidRDefault="00A81F07" w:rsidP="00CF4943">
      <w:pPr>
        <w:jc w:val="center"/>
        <w:rPr>
          <w:b/>
        </w:rPr>
      </w:pPr>
      <w:r w:rsidRPr="00A81F07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F4943" w:rsidRPr="009B143A" w:rsidRDefault="00CF4943" w:rsidP="00CF494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F4943" w:rsidRDefault="00CF4943" w:rsidP="00CF4943">
      <w:pPr>
        <w:jc w:val="right"/>
        <w:rPr>
          <w:b/>
          <w:bCs/>
          <w:sz w:val="28"/>
          <w:szCs w:val="28"/>
          <w:u w:val="single"/>
        </w:rPr>
      </w:pPr>
    </w:p>
    <w:p w:rsidR="00CF4943" w:rsidRDefault="00CF4943" w:rsidP="00CF4943">
      <w:pPr>
        <w:jc w:val="center"/>
        <w:rPr>
          <w:b/>
          <w:bCs/>
          <w:sz w:val="28"/>
          <w:szCs w:val="28"/>
        </w:rPr>
      </w:pPr>
      <w:r w:rsidRPr="003178C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4</w:t>
      </w:r>
      <w:r w:rsidRPr="003178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Pr="003178CC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3178CC">
        <w:rPr>
          <w:b/>
          <w:bCs/>
          <w:sz w:val="28"/>
          <w:szCs w:val="28"/>
        </w:rPr>
        <w:t xml:space="preserve"> года  № </w:t>
      </w:r>
      <w:r>
        <w:rPr>
          <w:b/>
          <w:bCs/>
          <w:sz w:val="28"/>
          <w:szCs w:val="28"/>
        </w:rPr>
        <w:t>23</w:t>
      </w:r>
    </w:p>
    <w:p w:rsidR="00CF4943" w:rsidRPr="00CC5D58" w:rsidRDefault="00CF4943" w:rsidP="00CF4943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7348"/>
      </w:tblGrid>
      <w:tr w:rsidR="00E200FF" w:rsidRPr="00385513" w:rsidTr="00EA3039">
        <w:trPr>
          <w:trHeight w:val="1739"/>
        </w:trPr>
        <w:tc>
          <w:tcPr>
            <w:tcW w:w="7348" w:type="dxa"/>
          </w:tcPr>
          <w:p w:rsidR="00E200FF" w:rsidRPr="00E200FF" w:rsidRDefault="00E200FF" w:rsidP="00E200FF">
            <w:pPr>
              <w:pStyle w:val="ConsPlusTitle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200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E2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Pr="00E200FF">
              <w:rPr>
                <w:rFonts w:ascii="Times New Roman" w:hAnsi="Times New Roman" w:cs="Times New Roman"/>
                <w:sz w:val="28"/>
                <w:szCs w:val="28"/>
              </w:rPr>
              <w:t>утверждении ключевых и индикативных показателей,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0FF">
              <w:rPr>
                <w:rFonts w:ascii="Times New Roman" w:hAnsi="Times New Roman" w:cs="Times New Roman"/>
                <w:sz w:val="28"/>
                <w:szCs w:val="28"/>
              </w:rPr>
              <w:t>применяемых при осуществлении муниципального контроля в границах муниципального образования Сосновоборский городской округ Ленинградской области»</w:t>
            </w:r>
          </w:p>
        </w:tc>
      </w:tr>
    </w:tbl>
    <w:p w:rsidR="00A17FFE" w:rsidRPr="00EA3039" w:rsidRDefault="00A17FFE" w:rsidP="00E200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A3039">
        <w:rPr>
          <w:sz w:val="24"/>
          <w:szCs w:val="24"/>
        </w:rPr>
        <w:t>В соответствии с частью 5 статьи 30 Федерального закона от 31.07.2020 № 248-ФЗ «О государственном контроле (надзоре) и муниципальном контроле в Российской Федерации», п. 60 Положения о муниципальном земельном контроле в границах муниципального образования Сосновоборский городской округ Ленинградской области, утвержденного решением совета депутатов</w:t>
      </w:r>
      <w:r w:rsidR="00EA3039" w:rsidRPr="00EA3039">
        <w:rPr>
          <w:sz w:val="24"/>
          <w:szCs w:val="24"/>
        </w:rPr>
        <w:t xml:space="preserve"> Сосновоборского городского округа </w:t>
      </w:r>
      <w:r w:rsidRPr="00EA3039">
        <w:rPr>
          <w:sz w:val="24"/>
          <w:szCs w:val="24"/>
        </w:rPr>
        <w:t xml:space="preserve"> от 22.09.2021 № 133, п. 5.2. Положения о муниципальном жилищном контроле на территории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30.11.2021 № 176, п. 5.2. Положения о муниципальном контроле в сфере благоустройства на территории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30.11.2021 № 178, п. 6.1.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30.11.2021 № 177, </w:t>
      </w:r>
      <w:r w:rsidRPr="00EA3039">
        <w:rPr>
          <w:sz w:val="24"/>
          <w:szCs w:val="24"/>
        </w:rPr>
        <w:br/>
        <w:t>п. 6.1.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30.11.2021 № 179, совет депутатов Сосновоборского городского округа</w:t>
      </w:r>
    </w:p>
    <w:p w:rsidR="00A17FFE" w:rsidRPr="007B4C7C" w:rsidRDefault="00A17FFE" w:rsidP="00A17FFE">
      <w:pPr>
        <w:widowControl w:val="0"/>
        <w:autoSpaceDE w:val="0"/>
        <w:autoSpaceDN w:val="0"/>
        <w:adjustRightInd w:val="0"/>
        <w:rPr>
          <w:sz w:val="18"/>
          <w:szCs w:val="24"/>
        </w:rPr>
      </w:pPr>
    </w:p>
    <w:p w:rsidR="00A17FFE" w:rsidRPr="00B73FAD" w:rsidRDefault="00A17FFE" w:rsidP="00A17FFE">
      <w:pPr>
        <w:jc w:val="center"/>
        <w:rPr>
          <w:sz w:val="24"/>
          <w:szCs w:val="24"/>
        </w:rPr>
      </w:pPr>
      <w:r w:rsidRPr="00B73FAD">
        <w:rPr>
          <w:sz w:val="24"/>
          <w:szCs w:val="24"/>
        </w:rPr>
        <w:t>Р</w:t>
      </w:r>
      <w:r w:rsidR="00EA3039">
        <w:rPr>
          <w:sz w:val="24"/>
          <w:szCs w:val="24"/>
        </w:rPr>
        <w:t xml:space="preserve"> </w:t>
      </w:r>
      <w:r w:rsidRPr="00B73FAD">
        <w:rPr>
          <w:sz w:val="24"/>
          <w:szCs w:val="24"/>
        </w:rPr>
        <w:t>Е</w:t>
      </w:r>
      <w:r w:rsidR="00EA3039">
        <w:rPr>
          <w:sz w:val="24"/>
          <w:szCs w:val="24"/>
        </w:rPr>
        <w:t xml:space="preserve"> </w:t>
      </w:r>
      <w:r w:rsidRPr="00B73FAD">
        <w:rPr>
          <w:sz w:val="24"/>
          <w:szCs w:val="24"/>
        </w:rPr>
        <w:t>Ш</w:t>
      </w:r>
      <w:r w:rsidR="00EA3039">
        <w:rPr>
          <w:sz w:val="24"/>
          <w:szCs w:val="24"/>
        </w:rPr>
        <w:t xml:space="preserve">  </w:t>
      </w:r>
      <w:r w:rsidRPr="00B73FAD">
        <w:rPr>
          <w:sz w:val="24"/>
          <w:szCs w:val="24"/>
        </w:rPr>
        <w:t>И</w:t>
      </w:r>
      <w:r w:rsidR="00EA3039">
        <w:rPr>
          <w:sz w:val="24"/>
          <w:szCs w:val="24"/>
        </w:rPr>
        <w:t xml:space="preserve"> </w:t>
      </w:r>
      <w:r w:rsidRPr="00B73FAD">
        <w:rPr>
          <w:sz w:val="24"/>
          <w:szCs w:val="24"/>
        </w:rPr>
        <w:t>Л:</w:t>
      </w:r>
    </w:p>
    <w:p w:rsidR="00A17FFE" w:rsidRPr="007B4C7C" w:rsidRDefault="00A17FFE" w:rsidP="00A17FFE">
      <w:pPr>
        <w:rPr>
          <w:sz w:val="16"/>
          <w:szCs w:val="24"/>
        </w:rPr>
      </w:pPr>
    </w:p>
    <w:p w:rsidR="00A17FFE" w:rsidRDefault="00A17FFE" w:rsidP="00A17FFE">
      <w:pPr>
        <w:pStyle w:val="aa"/>
        <w:numPr>
          <w:ilvl w:val="0"/>
          <w:numId w:val="4"/>
        </w:numPr>
        <w:spacing w:after="200"/>
        <w:ind w:left="0" w:firstLine="709"/>
        <w:jc w:val="both"/>
        <w:rPr>
          <w:rFonts w:eastAsiaTheme="minorHAnsi"/>
          <w:sz w:val="24"/>
          <w:szCs w:val="24"/>
        </w:rPr>
      </w:pPr>
      <w:r w:rsidRPr="00B73FAD">
        <w:rPr>
          <w:rFonts w:eastAsiaTheme="minorHAnsi"/>
          <w:sz w:val="24"/>
          <w:szCs w:val="24"/>
        </w:rPr>
        <w:t>Утвердить ключевые и индикативные показатели, применяемые при осуществлении муниципального контроля в границах муниципального образования Сосновоборский городской округ Ленинградской области согласно приложению к настоящему решению.</w:t>
      </w:r>
    </w:p>
    <w:p w:rsidR="00EA3039" w:rsidRPr="00EA3039" w:rsidRDefault="00EA3039" w:rsidP="00EA3039">
      <w:pPr>
        <w:pStyle w:val="aa"/>
        <w:numPr>
          <w:ilvl w:val="0"/>
          <w:numId w:val="4"/>
        </w:numPr>
        <w:spacing w:after="20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A3039">
        <w:rPr>
          <w:sz w:val="24"/>
          <w:szCs w:val="24"/>
        </w:rPr>
        <w:t>бнародовать настоящее решение на электронном сайте городской газеты «Маяк» в сети «Интернет» (</w:t>
      </w:r>
      <w:r w:rsidRPr="00EA3039">
        <w:rPr>
          <w:sz w:val="24"/>
          <w:szCs w:val="24"/>
          <w:lang w:val="en-US"/>
        </w:rPr>
        <w:t>www</w:t>
      </w:r>
      <w:r w:rsidRPr="00EA3039">
        <w:rPr>
          <w:sz w:val="24"/>
          <w:szCs w:val="24"/>
        </w:rPr>
        <w:t>.</w:t>
      </w:r>
      <w:r w:rsidRPr="00EA3039">
        <w:rPr>
          <w:sz w:val="24"/>
          <w:szCs w:val="24"/>
          <w:lang w:val="en-US"/>
        </w:rPr>
        <w:t>mayak</w:t>
      </w:r>
      <w:r w:rsidRPr="00EA3039">
        <w:rPr>
          <w:sz w:val="24"/>
          <w:szCs w:val="24"/>
        </w:rPr>
        <w:t>.</w:t>
      </w:r>
      <w:r w:rsidRPr="00EA3039">
        <w:rPr>
          <w:sz w:val="24"/>
          <w:szCs w:val="24"/>
          <w:lang w:val="en-US"/>
        </w:rPr>
        <w:t>sbor</w:t>
      </w:r>
      <w:r w:rsidRPr="00EA3039">
        <w:rPr>
          <w:sz w:val="24"/>
          <w:szCs w:val="24"/>
        </w:rPr>
        <w:t>.</w:t>
      </w:r>
      <w:r w:rsidRPr="00EA3039">
        <w:rPr>
          <w:sz w:val="24"/>
          <w:szCs w:val="24"/>
          <w:lang w:val="en-US"/>
        </w:rPr>
        <w:t>net</w:t>
      </w:r>
      <w:r w:rsidRPr="00EA3039">
        <w:rPr>
          <w:sz w:val="24"/>
          <w:szCs w:val="24"/>
        </w:rPr>
        <w:t>).</w:t>
      </w:r>
    </w:p>
    <w:p w:rsidR="00A17FFE" w:rsidRPr="00B73FAD" w:rsidRDefault="00A17FFE" w:rsidP="00EA3039">
      <w:pPr>
        <w:pStyle w:val="aa"/>
        <w:numPr>
          <w:ilvl w:val="0"/>
          <w:numId w:val="4"/>
        </w:numPr>
        <w:spacing w:after="200"/>
        <w:ind w:left="0" w:firstLine="709"/>
        <w:jc w:val="both"/>
        <w:rPr>
          <w:rFonts w:eastAsiaTheme="minorHAnsi"/>
          <w:sz w:val="24"/>
          <w:szCs w:val="24"/>
        </w:rPr>
      </w:pPr>
      <w:r w:rsidRPr="00B73FAD">
        <w:rPr>
          <w:rFonts w:eastAsiaTheme="minorHAnsi"/>
          <w:sz w:val="24"/>
          <w:szCs w:val="24"/>
        </w:rPr>
        <w:t>Насто</w:t>
      </w:r>
      <w:r>
        <w:rPr>
          <w:rFonts w:eastAsiaTheme="minorHAnsi"/>
          <w:sz w:val="24"/>
          <w:szCs w:val="24"/>
        </w:rPr>
        <w:t xml:space="preserve">ящее решение вступает в силу с </w:t>
      </w:r>
      <w:r w:rsidRPr="00B73FAD">
        <w:rPr>
          <w:rFonts w:eastAsiaTheme="minorHAnsi"/>
          <w:sz w:val="24"/>
          <w:szCs w:val="24"/>
        </w:rPr>
        <w:t>1 марта 2022</w:t>
      </w:r>
      <w:bookmarkStart w:id="0" w:name="_GoBack"/>
      <w:bookmarkEnd w:id="0"/>
      <w:r w:rsidRPr="00B73FAD">
        <w:rPr>
          <w:rFonts w:eastAsiaTheme="minorHAnsi"/>
          <w:sz w:val="24"/>
          <w:szCs w:val="24"/>
        </w:rPr>
        <w:t xml:space="preserve"> года.</w:t>
      </w:r>
    </w:p>
    <w:p w:rsidR="00A17FFE" w:rsidRPr="00CF4943" w:rsidRDefault="00A17FFE" w:rsidP="00A17FFE">
      <w:pPr>
        <w:tabs>
          <w:tab w:val="left" w:pos="8364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CF4943">
        <w:rPr>
          <w:b/>
          <w:sz w:val="28"/>
          <w:szCs w:val="28"/>
        </w:rPr>
        <w:t>Председатель совета депутатов</w:t>
      </w:r>
    </w:p>
    <w:p w:rsidR="00A17FFE" w:rsidRPr="00CF4943" w:rsidRDefault="00A17FFE" w:rsidP="00EA3039">
      <w:pPr>
        <w:tabs>
          <w:tab w:val="left" w:pos="765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CF4943">
        <w:rPr>
          <w:b/>
          <w:sz w:val="28"/>
          <w:szCs w:val="28"/>
        </w:rPr>
        <w:t>Сосновоборского городского округа</w:t>
      </w:r>
      <w:r w:rsidR="00EA3039" w:rsidRPr="00EA3039">
        <w:rPr>
          <w:b/>
          <w:sz w:val="28"/>
          <w:szCs w:val="28"/>
        </w:rPr>
        <w:t xml:space="preserve"> </w:t>
      </w:r>
      <w:r w:rsidR="00EA3039">
        <w:rPr>
          <w:b/>
          <w:sz w:val="28"/>
          <w:szCs w:val="28"/>
        </w:rPr>
        <w:t xml:space="preserve">                                 </w:t>
      </w:r>
      <w:r w:rsidR="00EA3039" w:rsidRPr="00CF4943">
        <w:rPr>
          <w:b/>
          <w:sz w:val="28"/>
          <w:szCs w:val="28"/>
        </w:rPr>
        <w:t>И.А. Бабич</w:t>
      </w:r>
      <w:r w:rsidR="00EA3039">
        <w:rPr>
          <w:b/>
          <w:sz w:val="28"/>
          <w:szCs w:val="28"/>
        </w:rPr>
        <w:t xml:space="preserve"> </w:t>
      </w:r>
      <w:r w:rsidRPr="00CF4943">
        <w:rPr>
          <w:b/>
          <w:sz w:val="28"/>
          <w:szCs w:val="28"/>
        </w:rPr>
        <w:tab/>
      </w:r>
    </w:p>
    <w:p w:rsidR="00A17FFE" w:rsidRPr="00CF4943" w:rsidRDefault="00A17FFE" w:rsidP="00A17FFE">
      <w:pPr>
        <w:tabs>
          <w:tab w:val="left" w:pos="765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A3039" w:rsidRDefault="00A17FFE" w:rsidP="00A17FFE">
      <w:pPr>
        <w:tabs>
          <w:tab w:val="left" w:pos="765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CF4943">
        <w:rPr>
          <w:b/>
          <w:sz w:val="28"/>
          <w:szCs w:val="28"/>
        </w:rPr>
        <w:t>Глава Сосновоборского</w:t>
      </w:r>
      <w:r w:rsidR="00EA3039">
        <w:rPr>
          <w:b/>
          <w:sz w:val="28"/>
          <w:szCs w:val="28"/>
        </w:rPr>
        <w:t xml:space="preserve">                                                         М.В. Воронков</w:t>
      </w:r>
    </w:p>
    <w:p w:rsidR="00EA3039" w:rsidRDefault="00A17FFE" w:rsidP="00EA3039">
      <w:pPr>
        <w:tabs>
          <w:tab w:val="left" w:pos="765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CF4943">
        <w:rPr>
          <w:b/>
          <w:sz w:val="28"/>
          <w:szCs w:val="28"/>
        </w:rPr>
        <w:t>городского округа</w:t>
      </w:r>
    </w:p>
    <w:p w:rsidR="001D29B6" w:rsidRDefault="00E67207" w:rsidP="00E67207">
      <w:pPr>
        <w:spacing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</w:p>
    <w:p w:rsidR="00E67207" w:rsidRPr="00B73FAD" w:rsidRDefault="001D29B6" w:rsidP="00E67207">
      <w:pPr>
        <w:spacing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</w:t>
      </w:r>
      <w:r w:rsidR="00E67207">
        <w:rPr>
          <w:b/>
          <w:bCs/>
          <w:sz w:val="24"/>
          <w:szCs w:val="24"/>
        </w:rPr>
        <w:t xml:space="preserve">  </w:t>
      </w:r>
      <w:r w:rsidR="00E67207" w:rsidRPr="00B73FAD">
        <w:rPr>
          <w:b/>
          <w:bCs/>
          <w:sz w:val="24"/>
          <w:szCs w:val="24"/>
        </w:rPr>
        <w:t>УТВЕРЖДЕНО</w:t>
      </w:r>
    </w:p>
    <w:p w:rsidR="00E67207" w:rsidRDefault="00E67207" w:rsidP="00E67207">
      <w:pPr>
        <w:spacing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Pr="00B73FAD">
        <w:rPr>
          <w:b/>
          <w:bCs/>
          <w:sz w:val="24"/>
          <w:szCs w:val="24"/>
        </w:rPr>
        <w:t>решением совета депутатов</w:t>
      </w:r>
    </w:p>
    <w:p w:rsidR="00E67207" w:rsidRPr="00B73FAD" w:rsidRDefault="00E67207" w:rsidP="00E67207">
      <w:pPr>
        <w:spacing w:line="259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B73FAD">
        <w:rPr>
          <w:b/>
          <w:sz w:val="24"/>
          <w:szCs w:val="24"/>
        </w:rPr>
        <w:t>Сосновоборского городского округа</w:t>
      </w:r>
    </w:p>
    <w:p w:rsidR="00E67207" w:rsidRPr="00B73FAD" w:rsidRDefault="00E67207" w:rsidP="00E67207">
      <w:pPr>
        <w:spacing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Pr="00B73FAD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 xml:space="preserve">24 февраля </w:t>
      </w:r>
      <w:r w:rsidRPr="00B73FAD">
        <w:rPr>
          <w:b/>
          <w:bCs/>
          <w:sz w:val="24"/>
          <w:szCs w:val="24"/>
        </w:rPr>
        <w:t xml:space="preserve">2022 года № </w:t>
      </w:r>
      <w:r>
        <w:rPr>
          <w:b/>
          <w:bCs/>
          <w:sz w:val="24"/>
          <w:szCs w:val="24"/>
        </w:rPr>
        <w:t>23</w:t>
      </w:r>
    </w:p>
    <w:p w:rsidR="00EA3039" w:rsidRDefault="00E67207" w:rsidP="00E67207">
      <w:pPr>
        <w:tabs>
          <w:tab w:val="left" w:pos="765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</w:t>
      </w:r>
      <w:r w:rsidRPr="00B73FAD">
        <w:rPr>
          <w:b/>
          <w:bCs/>
          <w:sz w:val="24"/>
          <w:szCs w:val="24"/>
        </w:rPr>
        <w:t>(Приложение)</w:t>
      </w:r>
    </w:p>
    <w:p w:rsidR="00A17FFE" w:rsidRPr="00B73FAD" w:rsidRDefault="00A17FFE" w:rsidP="00EA3039">
      <w:pPr>
        <w:tabs>
          <w:tab w:val="left" w:pos="7655"/>
        </w:tabs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4943">
        <w:rPr>
          <w:b/>
          <w:sz w:val="28"/>
          <w:szCs w:val="28"/>
        </w:rPr>
        <w:tab/>
      </w:r>
    </w:p>
    <w:p w:rsidR="00A17FFE" w:rsidRPr="00B73FAD" w:rsidRDefault="00A17FFE" w:rsidP="00A17FFE">
      <w:pPr>
        <w:contextualSpacing/>
        <w:jc w:val="center"/>
        <w:rPr>
          <w:b/>
          <w:sz w:val="24"/>
          <w:szCs w:val="24"/>
        </w:rPr>
      </w:pPr>
    </w:p>
    <w:p w:rsidR="00A17FFE" w:rsidRPr="00B73FAD" w:rsidRDefault="00A17FFE" w:rsidP="00A17FF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3FAD">
        <w:rPr>
          <w:b/>
          <w:sz w:val="24"/>
          <w:szCs w:val="24"/>
        </w:rPr>
        <w:t>КЛЮЧЕВЫЕ И ИНДИКАТИВНЫЕ ПОКАЗАТЕЛИ</w:t>
      </w:r>
    </w:p>
    <w:p w:rsidR="00A17FFE" w:rsidRPr="00B73FAD" w:rsidRDefault="00A17FFE" w:rsidP="00A17FF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3FAD">
        <w:rPr>
          <w:b/>
          <w:sz w:val="24"/>
          <w:szCs w:val="24"/>
        </w:rPr>
        <w:t>применяемые при осуществлении муниципального контроля в границах муниципального образования Сосновоборский городской округ</w:t>
      </w:r>
    </w:p>
    <w:p w:rsidR="00A17FFE" w:rsidRPr="00B73FAD" w:rsidRDefault="00A17FFE" w:rsidP="00A17FF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3FAD">
        <w:rPr>
          <w:b/>
          <w:sz w:val="24"/>
          <w:szCs w:val="24"/>
        </w:rPr>
        <w:t>Ленинградской области</w:t>
      </w:r>
    </w:p>
    <w:p w:rsidR="00A17FFE" w:rsidRDefault="00A17FFE" w:rsidP="00A17FFE">
      <w:pPr>
        <w:rPr>
          <w:sz w:val="24"/>
          <w:szCs w:val="24"/>
        </w:rPr>
      </w:pPr>
    </w:p>
    <w:p w:rsidR="00A17FFE" w:rsidRPr="00A32C96" w:rsidRDefault="00A17FFE" w:rsidP="00A17FFE">
      <w:pPr>
        <w:pStyle w:val="aa"/>
        <w:numPr>
          <w:ilvl w:val="0"/>
          <w:numId w:val="5"/>
        </w:numPr>
        <w:spacing w:after="200" w:line="276" w:lineRule="auto"/>
        <w:ind w:left="284"/>
        <w:rPr>
          <w:sz w:val="24"/>
          <w:szCs w:val="24"/>
        </w:rPr>
      </w:pPr>
      <w:r w:rsidRPr="002B3C45">
        <w:rPr>
          <w:b/>
          <w:sz w:val="21"/>
          <w:szCs w:val="21"/>
        </w:rPr>
        <w:t>Ключевые показатели</w:t>
      </w:r>
      <w:r w:rsidRPr="002B3C45">
        <w:rPr>
          <w:b/>
          <w:color w:val="000000" w:themeColor="text1"/>
          <w:sz w:val="20"/>
        </w:rPr>
        <w:t xml:space="preserve"> результативности, отражающие уровень минимизации вреда (ущерба)</w:t>
      </w:r>
      <w:r w:rsidRPr="00A656FB">
        <w:rPr>
          <w:b/>
          <w:color w:val="000000" w:themeColor="text1"/>
          <w:sz w:val="20"/>
        </w:rPr>
        <w:t xml:space="preserve"> охраняемым законом ценностям, уровень устранения риска причинения вреда (ущерба)</w:t>
      </w:r>
      <w:r>
        <w:rPr>
          <w:b/>
          <w:sz w:val="21"/>
          <w:szCs w:val="21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441"/>
        <w:gridCol w:w="2333"/>
        <w:gridCol w:w="1807"/>
        <w:gridCol w:w="1706"/>
        <w:gridCol w:w="1176"/>
        <w:gridCol w:w="1857"/>
      </w:tblGrid>
      <w:tr w:rsidR="00A17FFE" w:rsidTr="005D55F2">
        <w:tc>
          <w:tcPr>
            <w:tcW w:w="441" w:type="dxa"/>
          </w:tcPr>
          <w:p w:rsidR="00A17FFE" w:rsidRPr="00A32C96" w:rsidRDefault="00A17FFE" w:rsidP="005D55F2">
            <w:pPr>
              <w:jc w:val="center"/>
              <w:rPr>
                <w:b/>
                <w:bCs/>
                <w:sz w:val="18"/>
                <w:szCs w:val="21"/>
              </w:rPr>
            </w:pPr>
            <w:r w:rsidRPr="00A32C96">
              <w:rPr>
                <w:b/>
                <w:bCs/>
                <w:sz w:val="18"/>
                <w:szCs w:val="21"/>
              </w:rPr>
              <w:t>№ пп</w:t>
            </w:r>
          </w:p>
        </w:tc>
        <w:tc>
          <w:tcPr>
            <w:tcW w:w="2564" w:type="dxa"/>
          </w:tcPr>
          <w:p w:rsidR="00A17FFE" w:rsidRPr="008F7C2F" w:rsidRDefault="00A17FFE" w:rsidP="005D55F2">
            <w:pPr>
              <w:rPr>
                <w:b/>
                <w:bCs/>
                <w:sz w:val="18"/>
                <w:szCs w:val="21"/>
              </w:rPr>
            </w:pPr>
            <w:r w:rsidRPr="008F7C2F">
              <w:rPr>
                <w:b/>
                <w:bCs/>
                <w:sz w:val="18"/>
                <w:szCs w:val="21"/>
              </w:rPr>
              <w:t>Наименование показателя</w:t>
            </w:r>
          </w:p>
        </w:tc>
        <w:tc>
          <w:tcPr>
            <w:tcW w:w="1807" w:type="dxa"/>
          </w:tcPr>
          <w:p w:rsidR="00A17FFE" w:rsidRPr="008F7C2F" w:rsidRDefault="00A17FFE" w:rsidP="005D55F2">
            <w:pPr>
              <w:rPr>
                <w:b/>
                <w:bCs/>
                <w:sz w:val="18"/>
                <w:szCs w:val="21"/>
              </w:rPr>
            </w:pPr>
            <w:r w:rsidRPr="008F7C2F">
              <w:rPr>
                <w:b/>
                <w:bCs/>
                <w:sz w:val="18"/>
                <w:szCs w:val="21"/>
              </w:rPr>
              <w:t>Формула расчета</w:t>
            </w:r>
          </w:p>
        </w:tc>
        <w:tc>
          <w:tcPr>
            <w:tcW w:w="1706" w:type="dxa"/>
          </w:tcPr>
          <w:p w:rsidR="00A17FFE" w:rsidRPr="008F7C2F" w:rsidRDefault="00A17FFE" w:rsidP="005D55F2">
            <w:pPr>
              <w:jc w:val="center"/>
              <w:rPr>
                <w:b/>
                <w:bCs/>
                <w:sz w:val="18"/>
                <w:szCs w:val="21"/>
              </w:rPr>
            </w:pPr>
            <w:r w:rsidRPr="008F7C2F">
              <w:rPr>
                <w:b/>
                <w:bCs/>
                <w:sz w:val="18"/>
                <w:szCs w:val="21"/>
              </w:rPr>
              <w:t>Комментарии (интерпретация значений)</w:t>
            </w:r>
          </w:p>
        </w:tc>
        <w:tc>
          <w:tcPr>
            <w:tcW w:w="1176" w:type="dxa"/>
          </w:tcPr>
          <w:p w:rsidR="00A17FFE" w:rsidRDefault="00A17FFE" w:rsidP="005D55F2">
            <w:pPr>
              <w:jc w:val="center"/>
              <w:rPr>
                <w:b/>
                <w:bCs/>
                <w:sz w:val="18"/>
                <w:szCs w:val="21"/>
              </w:rPr>
            </w:pPr>
            <w:r>
              <w:rPr>
                <w:b/>
                <w:bCs/>
                <w:sz w:val="18"/>
                <w:szCs w:val="21"/>
              </w:rPr>
              <w:t>Базовый показатель</w:t>
            </w:r>
            <w:r w:rsidRPr="008F7C2F">
              <w:rPr>
                <w:b/>
                <w:bCs/>
                <w:sz w:val="18"/>
                <w:szCs w:val="21"/>
              </w:rPr>
              <w:t>,</w:t>
            </w:r>
          </w:p>
          <w:p w:rsidR="00A17FFE" w:rsidRPr="008F7C2F" w:rsidRDefault="00A17FFE" w:rsidP="005D55F2">
            <w:pPr>
              <w:jc w:val="center"/>
              <w:rPr>
                <w:b/>
                <w:bCs/>
                <w:sz w:val="18"/>
                <w:szCs w:val="21"/>
              </w:rPr>
            </w:pPr>
            <w:r w:rsidRPr="008F7C2F">
              <w:rPr>
                <w:b/>
                <w:bCs/>
                <w:sz w:val="18"/>
                <w:szCs w:val="21"/>
              </w:rPr>
              <w:t xml:space="preserve"> %</w:t>
            </w:r>
          </w:p>
        </w:tc>
        <w:tc>
          <w:tcPr>
            <w:tcW w:w="1911" w:type="dxa"/>
          </w:tcPr>
          <w:p w:rsidR="00A17FFE" w:rsidRPr="00A32C96" w:rsidRDefault="00A17FFE" w:rsidP="005D55F2">
            <w:pPr>
              <w:rPr>
                <w:b/>
                <w:bCs/>
                <w:sz w:val="18"/>
                <w:szCs w:val="21"/>
              </w:rPr>
            </w:pPr>
            <w:r w:rsidRPr="00A32C96">
              <w:rPr>
                <w:b/>
                <w:bCs/>
                <w:sz w:val="18"/>
                <w:szCs w:val="21"/>
              </w:rPr>
              <w:t>Прогнозный показатель, %</w:t>
            </w:r>
          </w:p>
        </w:tc>
      </w:tr>
      <w:tr w:rsidR="00A17FFE" w:rsidRPr="00CF4943" w:rsidTr="005D55F2">
        <w:tc>
          <w:tcPr>
            <w:tcW w:w="441" w:type="dxa"/>
          </w:tcPr>
          <w:p w:rsidR="00A17FFE" w:rsidRPr="00EB72C3" w:rsidRDefault="00A17FFE" w:rsidP="00CF4943">
            <w:pPr>
              <w:jc w:val="both"/>
              <w:rPr>
                <w:bCs/>
                <w:sz w:val="18"/>
                <w:szCs w:val="21"/>
              </w:rPr>
            </w:pPr>
            <w:r w:rsidRPr="00EB72C3">
              <w:rPr>
                <w:bCs/>
                <w:sz w:val="18"/>
                <w:szCs w:val="21"/>
              </w:rPr>
              <w:t>1.1</w:t>
            </w:r>
          </w:p>
        </w:tc>
        <w:tc>
          <w:tcPr>
            <w:tcW w:w="2564" w:type="dxa"/>
          </w:tcPr>
          <w:p w:rsidR="00A17FFE" w:rsidRPr="008F7C2F" w:rsidRDefault="00A17FFE" w:rsidP="00CF4943">
            <w:pPr>
              <w:jc w:val="both"/>
              <w:rPr>
                <w:b/>
                <w:bCs/>
                <w:sz w:val="18"/>
                <w:szCs w:val="21"/>
              </w:rPr>
            </w:pPr>
            <w:r w:rsidRPr="00A32C96">
              <w:t>Процент устраненных нарушений из числа выявленных нарушений</w:t>
            </w:r>
            <w:r>
              <w:t xml:space="preserve"> обязательных требований</w:t>
            </w:r>
            <w:r w:rsidRPr="00A32C96">
              <w:t xml:space="preserve"> законодательства </w:t>
            </w:r>
          </w:p>
        </w:tc>
        <w:tc>
          <w:tcPr>
            <w:tcW w:w="1807" w:type="dxa"/>
          </w:tcPr>
          <w:p w:rsidR="00A17FFE" w:rsidRPr="00CF4943" w:rsidRDefault="00A17FFE" w:rsidP="00CF4943">
            <w:pPr>
              <w:jc w:val="both"/>
              <w:rPr>
                <w:sz w:val="20"/>
              </w:rPr>
            </w:pPr>
            <w:r w:rsidRPr="00CF4943">
              <w:rPr>
                <w:sz w:val="20"/>
              </w:rPr>
              <w:t>КП%=(В/А)х100%</w:t>
            </w:r>
          </w:p>
          <w:p w:rsidR="00A17FFE" w:rsidRPr="00CF4943" w:rsidRDefault="00A17FFE" w:rsidP="00CF494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706" w:type="dxa"/>
          </w:tcPr>
          <w:p w:rsidR="00A17FFE" w:rsidRPr="00CF4943" w:rsidRDefault="00A17FFE" w:rsidP="00CF4943">
            <w:pPr>
              <w:jc w:val="both"/>
              <w:rPr>
                <w:sz w:val="20"/>
              </w:rPr>
            </w:pPr>
            <w:r w:rsidRPr="00CF4943">
              <w:rPr>
                <w:sz w:val="20"/>
              </w:rPr>
              <w:t>КП - ключевой показатель</w:t>
            </w:r>
          </w:p>
          <w:p w:rsidR="00A17FFE" w:rsidRPr="00CF4943" w:rsidRDefault="00A17FFE" w:rsidP="00CF4943">
            <w:pPr>
              <w:jc w:val="both"/>
              <w:rPr>
                <w:sz w:val="20"/>
              </w:rPr>
            </w:pPr>
            <w:r w:rsidRPr="00CF4943">
              <w:rPr>
                <w:sz w:val="20"/>
              </w:rPr>
              <w:t>A - общее количество выявленных нарушений обязательных требований законодательства в отчетном году;</w:t>
            </w:r>
          </w:p>
          <w:p w:rsidR="00A17FFE" w:rsidRPr="00CF4943" w:rsidRDefault="00A17FFE" w:rsidP="00CF4943">
            <w:pPr>
              <w:jc w:val="both"/>
              <w:rPr>
                <w:sz w:val="20"/>
              </w:rPr>
            </w:pPr>
            <w:r w:rsidRPr="00CF4943">
              <w:rPr>
                <w:sz w:val="20"/>
              </w:rPr>
              <w:t>B - общее количество устраненных нарушений обязательных требований законодательства в отчетном году</w:t>
            </w:r>
          </w:p>
          <w:p w:rsidR="00A17FFE" w:rsidRPr="00CF4943" w:rsidRDefault="00A17FFE" w:rsidP="00CF4943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176" w:type="dxa"/>
          </w:tcPr>
          <w:p w:rsidR="00A17FFE" w:rsidRPr="00CF4943" w:rsidRDefault="00A17FFE" w:rsidP="00CF4943">
            <w:pPr>
              <w:jc w:val="both"/>
              <w:rPr>
                <w:b/>
                <w:bCs/>
                <w:sz w:val="20"/>
              </w:rPr>
            </w:pPr>
            <w:r w:rsidRPr="00CF4943">
              <w:rPr>
                <w:sz w:val="20"/>
              </w:rPr>
              <w:t>20</w:t>
            </w:r>
          </w:p>
        </w:tc>
        <w:tc>
          <w:tcPr>
            <w:tcW w:w="1911" w:type="dxa"/>
          </w:tcPr>
          <w:p w:rsidR="00A17FFE" w:rsidRPr="00CF4943" w:rsidRDefault="00A17FFE" w:rsidP="00CF4943">
            <w:pPr>
              <w:jc w:val="both"/>
              <w:rPr>
                <w:sz w:val="20"/>
              </w:rPr>
            </w:pPr>
            <w:r w:rsidRPr="00CF4943">
              <w:rPr>
                <w:sz w:val="20"/>
              </w:rPr>
              <w:t>ПКП = КПN + 1%,</w:t>
            </w:r>
          </w:p>
          <w:p w:rsidR="00A17FFE" w:rsidRPr="00CF4943" w:rsidRDefault="00A17FFE" w:rsidP="00CF4943">
            <w:pPr>
              <w:jc w:val="both"/>
              <w:rPr>
                <w:sz w:val="20"/>
              </w:rPr>
            </w:pPr>
          </w:p>
          <w:p w:rsidR="00A17FFE" w:rsidRPr="00CF4943" w:rsidRDefault="00A17FFE" w:rsidP="00CF4943">
            <w:pPr>
              <w:jc w:val="both"/>
              <w:rPr>
                <w:sz w:val="20"/>
              </w:rPr>
            </w:pPr>
            <w:r w:rsidRPr="00CF4943">
              <w:rPr>
                <w:sz w:val="20"/>
              </w:rPr>
              <w:t>где:</w:t>
            </w:r>
          </w:p>
          <w:p w:rsidR="00A17FFE" w:rsidRPr="00CF4943" w:rsidRDefault="00A17FFE" w:rsidP="00CF4943">
            <w:pPr>
              <w:jc w:val="both"/>
              <w:rPr>
                <w:sz w:val="20"/>
              </w:rPr>
            </w:pPr>
            <w:r w:rsidRPr="00CF4943">
              <w:rPr>
                <w:sz w:val="20"/>
              </w:rPr>
              <w:t>ПКП - целевое значение прогнозного ключевого показателя на расчетный год;</w:t>
            </w:r>
          </w:p>
          <w:p w:rsidR="00A17FFE" w:rsidRPr="00CF4943" w:rsidRDefault="00A17FFE" w:rsidP="00CF4943">
            <w:pPr>
              <w:jc w:val="both"/>
              <w:rPr>
                <w:sz w:val="20"/>
              </w:rPr>
            </w:pPr>
            <w:r w:rsidRPr="00CF4943">
              <w:rPr>
                <w:sz w:val="20"/>
              </w:rPr>
              <w:t>КПN - целевое значение ключевого показателя за предшествующий год.</w:t>
            </w:r>
          </w:p>
          <w:p w:rsidR="00A17FFE" w:rsidRPr="00CF4943" w:rsidRDefault="00A17FFE" w:rsidP="00CF4943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A17FFE" w:rsidRPr="00A32C96" w:rsidRDefault="00A17FFE" w:rsidP="00CF4943">
      <w:pPr>
        <w:ind w:left="709"/>
        <w:jc w:val="both"/>
        <w:rPr>
          <w:sz w:val="24"/>
          <w:szCs w:val="24"/>
        </w:rPr>
      </w:pPr>
    </w:p>
    <w:p w:rsidR="00A17FFE" w:rsidRPr="00A656FB" w:rsidRDefault="00A17FFE" w:rsidP="00CF4943">
      <w:pPr>
        <w:pStyle w:val="aa"/>
        <w:numPr>
          <w:ilvl w:val="0"/>
          <w:numId w:val="5"/>
        </w:numPr>
        <w:spacing w:after="200" w:line="276" w:lineRule="auto"/>
        <w:ind w:left="284"/>
        <w:jc w:val="both"/>
        <w:rPr>
          <w:b/>
          <w:sz w:val="20"/>
        </w:rPr>
      </w:pPr>
      <w:r w:rsidRPr="00A656FB">
        <w:rPr>
          <w:b/>
          <w:bCs/>
          <w:sz w:val="21"/>
          <w:szCs w:val="21"/>
        </w:rPr>
        <w:t>Индикативные показатели, характеризующие параметры проведенных мероприятий</w:t>
      </w:r>
    </w:p>
    <w:tbl>
      <w:tblPr>
        <w:tblStyle w:val="a4"/>
        <w:tblW w:w="0" w:type="auto"/>
        <w:tblLook w:val="04A0"/>
      </w:tblPr>
      <w:tblGrid>
        <w:gridCol w:w="441"/>
        <w:gridCol w:w="2786"/>
        <w:gridCol w:w="1935"/>
        <w:gridCol w:w="2860"/>
        <w:gridCol w:w="1264"/>
      </w:tblGrid>
      <w:tr w:rsidR="00A17FFE" w:rsidRPr="00B73FAD" w:rsidTr="005D55F2">
        <w:trPr>
          <w:trHeight w:val="609"/>
        </w:trPr>
        <w:tc>
          <w:tcPr>
            <w:tcW w:w="441" w:type="dxa"/>
          </w:tcPr>
          <w:p w:rsidR="00A17FFE" w:rsidRDefault="00A17FFE" w:rsidP="005D55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пп</w:t>
            </w:r>
          </w:p>
        </w:tc>
        <w:tc>
          <w:tcPr>
            <w:tcW w:w="2893" w:type="dxa"/>
          </w:tcPr>
          <w:p w:rsidR="00A17FFE" w:rsidRPr="008F7C2F" w:rsidRDefault="00A17FFE" w:rsidP="005D55F2">
            <w:pPr>
              <w:rPr>
                <w:b/>
                <w:bCs/>
                <w:sz w:val="18"/>
                <w:szCs w:val="21"/>
              </w:rPr>
            </w:pPr>
            <w:r w:rsidRPr="008F7C2F">
              <w:rPr>
                <w:b/>
                <w:bCs/>
                <w:sz w:val="18"/>
                <w:szCs w:val="21"/>
              </w:rPr>
              <w:t>Наименование показателя</w:t>
            </w:r>
          </w:p>
        </w:tc>
        <w:tc>
          <w:tcPr>
            <w:tcW w:w="1996" w:type="dxa"/>
          </w:tcPr>
          <w:p w:rsidR="00A17FFE" w:rsidRPr="008F7C2F" w:rsidRDefault="00A17FFE" w:rsidP="005D55F2">
            <w:pPr>
              <w:rPr>
                <w:b/>
                <w:bCs/>
                <w:sz w:val="18"/>
                <w:szCs w:val="21"/>
              </w:rPr>
            </w:pPr>
            <w:r w:rsidRPr="008F7C2F">
              <w:rPr>
                <w:b/>
                <w:bCs/>
                <w:sz w:val="18"/>
                <w:szCs w:val="21"/>
              </w:rPr>
              <w:t>Формула расчета</w:t>
            </w:r>
          </w:p>
        </w:tc>
        <w:tc>
          <w:tcPr>
            <w:tcW w:w="2977" w:type="dxa"/>
          </w:tcPr>
          <w:p w:rsidR="00A17FFE" w:rsidRPr="008F7C2F" w:rsidRDefault="00A17FFE" w:rsidP="005D55F2">
            <w:pPr>
              <w:jc w:val="center"/>
              <w:rPr>
                <w:b/>
                <w:bCs/>
                <w:sz w:val="18"/>
                <w:szCs w:val="21"/>
              </w:rPr>
            </w:pPr>
            <w:r w:rsidRPr="008F7C2F">
              <w:rPr>
                <w:b/>
                <w:bCs/>
                <w:sz w:val="18"/>
                <w:szCs w:val="21"/>
              </w:rPr>
              <w:t>Комментарии (интерпретация значений)</w:t>
            </w:r>
          </w:p>
        </w:tc>
        <w:tc>
          <w:tcPr>
            <w:tcW w:w="1264" w:type="dxa"/>
          </w:tcPr>
          <w:p w:rsidR="00A17FFE" w:rsidRPr="008F7C2F" w:rsidRDefault="00A17FFE" w:rsidP="005D55F2">
            <w:pPr>
              <w:jc w:val="center"/>
              <w:rPr>
                <w:b/>
                <w:bCs/>
                <w:sz w:val="18"/>
                <w:szCs w:val="21"/>
              </w:rPr>
            </w:pPr>
            <w:r w:rsidRPr="008F7C2F">
              <w:rPr>
                <w:b/>
                <w:bCs/>
                <w:sz w:val="18"/>
                <w:szCs w:val="21"/>
              </w:rPr>
              <w:t>Целевые значения показателей, %</w:t>
            </w:r>
          </w:p>
        </w:tc>
      </w:tr>
      <w:tr w:rsidR="00A17FFE" w:rsidRPr="00B73FAD" w:rsidTr="005D55F2">
        <w:tc>
          <w:tcPr>
            <w:tcW w:w="441" w:type="dxa"/>
          </w:tcPr>
          <w:p w:rsidR="00A17FFE" w:rsidRPr="00B73FAD" w:rsidRDefault="00A17FFE" w:rsidP="005D55F2">
            <w:pPr>
              <w:jc w:val="center"/>
              <w:rPr>
                <w:sz w:val="21"/>
                <w:szCs w:val="21"/>
              </w:rPr>
            </w:pPr>
            <w:r w:rsidRPr="00EB72C3">
              <w:rPr>
                <w:sz w:val="18"/>
                <w:szCs w:val="21"/>
              </w:rPr>
              <w:t>2.1</w:t>
            </w:r>
          </w:p>
        </w:tc>
        <w:tc>
          <w:tcPr>
            <w:tcW w:w="2893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Выполнение плана контрольных мероприятий</w:t>
            </w:r>
            <w:r w:rsidRPr="00B73FAD">
              <w:rPr>
                <w:rStyle w:val="ad"/>
                <w:sz w:val="21"/>
                <w:szCs w:val="21"/>
              </w:rPr>
              <w:footnoteReference w:id="1"/>
            </w:r>
          </w:p>
        </w:tc>
        <w:tc>
          <w:tcPr>
            <w:tcW w:w="1996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Вп= (Кпкм/Купкм) x100</w:t>
            </w:r>
          </w:p>
        </w:tc>
        <w:tc>
          <w:tcPr>
            <w:tcW w:w="2977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Вп— выполнение плана контрольных мероприятий %</w:t>
            </w:r>
          </w:p>
          <w:p w:rsidR="00A17FFE" w:rsidRPr="00B73FAD" w:rsidRDefault="00A17FFE" w:rsidP="00CF4943">
            <w:pPr>
              <w:jc w:val="both"/>
              <w:textAlignment w:val="baseline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Кпкм – количество проведенных плановых контрольных мероприятий (ед.)</w:t>
            </w:r>
          </w:p>
          <w:p w:rsidR="00A17FFE" w:rsidRDefault="00A17FFE" w:rsidP="00CF4943">
            <w:pPr>
              <w:jc w:val="both"/>
              <w:textAlignment w:val="baseline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Купкм— количество утвержденных плановых контрольных мероприятий (ед.)</w:t>
            </w:r>
          </w:p>
          <w:p w:rsidR="00CF4943" w:rsidRDefault="00CF4943" w:rsidP="00CF4943">
            <w:pPr>
              <w:jc w:val="both"/>
              <w:textAlignment w:val="baseline"/>
              <w:rPr>
                <w:sz w:val="21"/>
                <w:szCs w:val="21"/>
              </w:rPr>
            </w:pPr>
          </w:p>
          <w:p w:rsidR="00CF4943" w:rsidRDefault="00CF4943" w:rsidP="00CF4943">
            <w:pPr>
              <w:jc w:val="both"/>
              <w:textAlignment w:val="baseline"/>
              <w:rPr>
                <w:sz w:val="21"/>
                <w:szCs w:val="21"/>
              </w:rPr>
            </w:pPr>
          </w:p>
          <w:p w:rsidR="00CF4943" w:rsidRDefault="00CF4943" w:rsidP="00CF4943">
            <w:pPr>
              <w:jc w:val="both"/>
              <w:textAlignment w:val="baseline"/>
              <w:rPr>
                <w:sz w:val="21"/>
                <w:szCs w:val="21"/>
              </w:rPr>
            </w:pPr>
          </w:p>
          <w:p w:rsidR="00CF4943" w:rsidRDefault="00CF4943" w:rsidP="00CF4943">
            <w:pPr>
              <w:jc w:val="both"/>
              <w:textAlignment w:val="baseline"/>
              <w:rPr>
                <w:sz w:val="21"/>
                <w:szCs w:val="21"/>
              </w:rPr>
            </w:pPr>
          </w:p>
          <w:p w:rsidR="00741638" w:rsidRDefault="00741638" w:rsidP="00CF4943">
            <w:pPr>
              <w:jc w:val="both"/>
              <w:textAlignment w:val="baseline"/>
              <w:rPr>
                <w:sz w:val="21"/>
                <w:szCs w:val="21"/>
              </w:rPr>
            </w:pPr>
          </w:p>
          <w:p w:rsidR="00741638" w:rsidRPr="00B73FAD" w:rsidRDefault="00741638" w:rsidP="00CF4943">
            <w:pPr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264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B73FAD">
              <w:rPr>
                <w:sz w:val="21"/>
                <w:szCs w:val="21"/>
              </w:rPr>
              <w:t>0%</w:t>
            </w:r>
          </w:p>
        </w:tc>
      </w:tr>
      <w:tr w:rsidR="00A17FFE" w:rsidRPr="00B73FAD" w:rsidTr="005D55F2">
        <w:tc>
          <w:tcPr>
            <w:tcW w:w="441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EB72C3">
              <w:rPr>
                <w:sz w:val="18"/>
                <w:szCs w:val="21"/>
              </w:rPr>
              <w:lastRenderedPageBreak/>
              <w:t>2.2</w:t>
            </w:r>
          </w:p>
        </w:tc>
        <w:tc>
          <w:tcPr>
            <w:tcW w:w="2893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Доля контрольных мероприятий, результаты которых были признаны недействительными (в процентах общего числа проведенных контрольных мероприятий)</w:t>
            </w:r>
          </w:p>
        </w:tc>
        <w:tc>
          <w:tcPr>
            <w:tcW w:w="1996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Кн x 100 /Кп</w:t>
            </w:r>
          </w:p>
        </w:tc>
        <w:tc>
          <w:tcPr>
            <w:tcW w:w="2977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Кн— количество контрольных мероприятий, признанных недействительными (ед.)</w:t>
            </w:r>
          </w:p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Кп— количество проведенных контрольных мероприятий (ед.)</w:t>
            </w:r>
          </w:p>
        </w:tc>
        <w:tc>
          <w:tcPr>
            <w:tcW w:w="1264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0%</w:t>
            </w:r>
          </w:p>
        </w:tc>
      </w:tr>
      <w:tr w:rsidR="00A17FFE" w:rsidRPr="00B73FAD" w:rsidTr="005D55F2">
        <w:tc>
          <w:tcPr>
            <w:tcW w:w="441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EB72C3">
              <w:rPr>
                <w:sz w:val="18"/>
                <w:szCs w:val="21"/>
              </w:rPr>
              <w:t>2.3</w:t>
            </w:r>
          </w:p>
        </w:tc>
        <w:tc>
          <w:tcPr>
            <w:tcW w:w="2893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Доля контрольных мероприятий, на результаты которых поданы жалобы</w:t>
            </w:r>
          </w:p>
        </w:tc>
        <w:tc>
          <w:tcPr>
            <w:tcW w:w="1996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Ж x 100/Кп</w:t>
            </w:r>
          </w:p>
        </w:tc>
        <w:tc>
          <w:tcPr>
            <w:tcW w:w="2977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Ж — количество жалоб (ед.)</w:t>
            </w:r>
          </w:p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Кп — количество проведенных контрольных мероприятий</w:t>
            </w:r>
          </w:p>
        </w:tc>
        <w:tc>
          <w:tcPr>
            <w:tcW w:w="1264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0%</w:t>
            </w:r>
          </w:p>
        </w:tc>
      </w:tr>
      <w:tr w:rsidR="00A17FFE" w:rsidRPr="00B73FAD" w:rsidTr="005D55F2">
        <w:tc>
          <w:tcPr>
            <w:tcW w:w="441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EB72C3">
              <w:rPr>
                <w:sz w:val="18"/>
                <w:szCs w:val="21"/>
              </w:rPr>
              <w:t>2.4</w:t>
            </w:r>
          </w:p>
        </w:tc>
        <w:tc>
          <w:tcPr>
            <w:tcW w:w="2893" w:type="dxa"/>
          </w:tcPr>
          <w:p w:rsidR="00A17FFE" w:rsidRPr="00B73FAD" w:rsidRDefault="00A17FFE" w:rsidP="00CF494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Доля контрольных мероприятий, по итогам которых по результатам выявленных правонарушений были возбуждены дела об административных правонарушениях (в процентах общего числа контрольных мероприятий, по итогам которых были выявлены правонарушения)</w:t>
            </w:r>
            <w:r w:rsidRPr="00B73FAD">
              <w:rPr>
                <w:rStyle w:val="ad"/>
                <w:sz w:val="21"/>
                <w:szCs w:val="21"/>
              </w:rPr>
              <w:t xml:space="preserve"> </w:t>
            </w:r>
            <w:r w:rsidRPr="00B73FAD">
              <w:rPr>
                <w:rStyle w:val="ad"/>
                <w:sz w:val="21"/>
                <w:szCs w:val="21"/>
              </w:rPr>
              <w:footnoteReference w:id="2"/>
            </w:r>
          </w:p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96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Квд х 100/Квн</w:t>
            </w:r>
          </w:p>
        </w:tc>
        <w:tc>
          <w:tcPr>
            <w:tcW w:w="2977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>Квд – количество возбужденных дел об административных правонарушениях (ед.)</w:t>
            </w:r>
          </w:p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 w:rsidRPr="00B73FAD">
              <w:rPr>
                <w:sz w:val="21"/>
                <w:szCs w:val="21"/>
              </w:rPr>
              <w:t xml:space="preserve">Квн— количество выявленных нарушений (ед.) </w:t>
            </w:r>
          </w:p>
        </w:tc>
        <w:tc>
          <w:tcPr>
            <w:tcW w:w="1264" w:type="dxa"/>
          </w:tcPr>
          <w:p w:rsidR="00A17FFE" w:rsidRPr="00B73FAD" w:rsidRDefault="00A17FFE" w:rsidP="00CF494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B73FAD">
              <w:rPr>
                <w:sz w:val="21"/>
                <w:szCs w:val="21"/>
              </w:rPr>
              <w:t>0%</w:t>
            </w:r>
          </w:p>
        </w:tc>
      </w:tr>
    </w:tbl>
    <w:p w:rsidR="00A17FFE" w:rsidRPr="00B73FAD" w:rsidRDefault="00A17FFE" w:rsidP="00CF4943">
      <w:pPr>
        <w:ind w:left="360"/>
        <w:jc w:val="both"/>
      </w:pPr>
    </w:p>
    <w:p w:rsidR="00A17FFE" w:rsidRPr="004C0584" w:rsidRDefault="00A17FFE" w:rsidP="00CF4943">
      <w:pPr>
        <w:jc w:val="both"/>
        <w:rPr>
          <w:sz w:val="16"/>
          <w:szCs w:val="18"/>
        </w:rPr>
      </w:pPr>
    </w:p>
    <w:sectPr w:rsidR="00A17FFE" w:rsidRPr="004C0584" w:rsidSect="00EA3039">
      <w:pgSz w:w="11906" w:h="16838"/>
      <w:pgMar w:top="567" w:right="851" w:bottom="567" w:left="1985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44" w:rsidRDefault="009F5544">
      <w:r>
        <w:separator/>
      </w:r>
    </w:p>
  </w:endnote>
  <w:endnote w:type="continuationSeparator" w:id="0">
    <w:p w:rsidR="009F5544" w:rsidRDefault="009F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44" w:rsidRDefault="009F5544">
      <w:r>
        <w:separator/>
      </w:r>
    </w:p>
  </w:footnote>
  <w:footnote w:type="continuationSeparator" w:id="0">
    <w:p w:rsidR="009F5544" w:rsidRDefault="009F5544">
      <w:r>
        <w:continuationSeparator/>
      </w:r>
    </w:p>
  </w:footnote>
  <w:footnote w:id="1">
    <w:p w:rsidR="00A17FFE" w:rsidRDefault="00A17FFE" w:rsidP="00A17FFE">
      <w:pPr>
        <w:pStyle w:val="ae"/>
        <w:jc w:val="both"/>
      </w:pPr>
      <w:r>
        <w:rPr>
          <w:rStyle w:val="ad"/>
        </w:rPr>
        <w:footnoteRef/>
      </w:r>
      <w:r>
        <w:t xml:space="preserve"> Данный показатель устанавливается лишь в случае, если в соответствии с положением о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A17FFE" w:rsidRDefault="00A17FFE" w:rsidP="00A17FFE">
      <w:pPr>
        <w:pStyle w:val="ae"/>
        <w:jc w:val="both"/>
      </w:pPr>
      <w:r>
        <w:rPr>
          <w:rStyle w:val="ad"/>
        </w:rPr>
        <w:footnoteRef/>
      </w:r>
      <w:r>
        <w:t xml:space="preserve"> Данный показатель устанавливается лишь в случае, если выявленное правонарушение предусмотрена административная ответственности. В ином случае данный показатель подлежит исключению. </w:t>
      </w:r>
    </w:p>
    <w:p w:rsidR="00A17FFE" w:rsidRDefault="00A17FFE" w:rsidP="00A17FFE">
      <w:pPr>
        <w:pStyle w:val="ae"/>
        <w:jc w:val="both"/>
      </w:pPr>
    </w:p>
    <w:p w:rsidR="00A17FFE" w:rsidRDefault="00A17FFE" w:rsidP="00A17FFE">
      <w:pPr>
        <w:pStyle w:val="ae"/>
        <w:jc w:val="both"/>
      </w:pPr>
    </w:p>
    <w:p w:rsidR="00A17FFE" w:rsidRDefault="00A17FFE" w:rsidP="00A17FFE">
      <w:pPr>
        <w:pStyle w:val="ae"/>
        <w:jc w:val="both"/>
      </w:pPr>
    </w:p>
    <w:p w:rsidR="00A17FFE" w:rsidRDefault="00A17FFE" w:rsidP="00A17FFE">
      <w:pPr>
        <w:pStyle w:val="ae"/>
        <w:jc w:val="both"/>
      </w:pPr>
    </w:p>
    <w:p w:rsidR="00A17FFE" w:rsidRDefault="00A17FFE" w:rsidP="00A17FFE">
      <w:pPr>
        <w:jc w:val="center"/>
        <w:rPr>
          <w:sz w:val="26"/>
          <w:szCs w:val="26"/>
          <w:u w:val="single"/>
        </w:rPr>
      </w:pPr>
    </w:p>
    <w:p w:rsidR="00A17FFE" w:rsidRDefault="00A17FFE" w:rsidP="00A17FFE">
      <w:pPr>
        <w:pStyle w:val="ae"/>
        <w:jc w:val="both"/>
      </w:pPr>
      <w:r>
        <w:t>\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5A8"/>
    <w:multiLevelType w:val="hybridMultilevel"/>
    <w:tmpl w:val="B9E4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261C"/>
    <w:multiLevelType w:val="hybridMultilevel"/>
    <w:tmpl w:val="A4F0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F15C2"/>
    <w:multiLevelType w:val="multilevel"/>
    <w:tmpl w:val="D9180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77D328F3"/>
    <w:multiLevelType w:val="hybridMultilevel"/>
    <w:tmpl w:val="BAC4A7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E83D2D"/>
    <w:multiLevelType w:val="hybridMultilevel"/>
    <w:tmpl w:val="E1306DFE"/>
    <w:lvl w:ilvl="0" w:tplc="2BA0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79b4814-8073-491a-bbc5-b8d1d8dcd16c"/>
  </w:docVars>
  <w:rsids>
    <w:rsidRoot w:val="00BB5D7C"/>
    <w:rsid w:val="0014725F"/>
    <w:rsid w:val="001D29B6"/>
    <w:rsid w:val="004A7BA9"/>
    <w:rsid w:val="004C0584"/>
    <w:rsid w:val="00741638"/>
    <w:rsid w:val="00784214"/>
    <w:rsid w:val="007D4018"/>
    <w:rsid w:val="00801EDC"/>
    <w:rsid w:val="00892E30"/>
    <w:rsid w:val="008C3C5F"/>
    <w:rsid w:val="00972C9F"/>
    <w:rsid w:val="009A4E53"/>
    <w:rsid w:val="009F5544"/>
    <w:rsid w:val="00A17FFE"/>
    <w:rsid w:val="00A81F07"/>
    <w:rsid w:val="00AB4A59"/>
    <w:rsid w:val="00B94117"/>
    <w:rsid w:val="00BB5D7C"/>
    <w:rsid w:val="00C216C9"/>
    <w:rsid w:val="00CD2D4E"/>
    <w:rsid w:val="00CF4943"/>
    <w:rsid w:val="00E200FF"/>
    <w:rsid w:val="00E27AC5"/>
    <w:rsid w:val="00E67207"/>
    <w:rsid w:val="00EA3039"/>
    <w:rsid w:val="00FC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7C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D7C"/>
    <w:rPr>
      <w:color w:val="0000FF"/>
      <w:u w:val="single"/>
    </w:rPr>
  </w:style>
  <w:style w:type="table" w:styleId="a4">
    <w:name w:val="Table Grid"/>
    <w:aliases w:val="OTR"/>
    <w:basedOn w:val="a1"/>
    <w:uiPriority w:val="59"/>
    <w:rsid w:val="00BB5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B5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B5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5D7C"/>
    <w:rPr>
      <w:sz w:val="22"/>
    </w:rPr>
  </w:style>
  <w:style w:type="paragraph" w:styleId="a8">
    <w:name w:val="footer"/>
    <w:basedOn w:val="a"/>
    <w:link w:val="a9"/>
    <w:rsid w:val="00BB5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5D7C"/>
    <w:rPr>
      <w:sz w:val="22"/>
    </w:rPr>
  </w:style>
  <w:style w:type="paragraph" w:styleId="aa">
    <w:name w:val="List Paragraph"/>
    <w:basedOn w:val="a"/>
    <w:uiPriority w:val="34"/>
    <w:qFormat/>
    <w:rsid w:val="00BB5D7C"/>
    <w:pPr>
      <w:ind w:left="720"/>
      <w:contextualSpacing/>
    </w:pPr>
  </w:style>
  <w:style w:type="character" w:styleId="ab">
    <w:name w:val="Strong"/>
    <w:basedOn w:val="a0"/>
    <w:uiPriority w:val="22"/>
    <w:qFormat/>
    <w:rsid w:val="00BB5D7C"/>
    <w:rPr>
      <w:b/>
      <w:bCs/>
    </w:rPr>
  </w:style>
  <w:style w:type="paragraph" w:customStyle="1" w:styleId="ConsPlusTitle">
    <w:name w:val="ConsPlusTitle"/>
    <w:uiPriority w:val="99"/>
    <w:rsid w:val="004A7B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 Spacing"/>
    <w:uiPriority w:val="1"/>
    <w:qFormat/>
    <w:rsid w:val="00A17F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17F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d">
    <w:name w:val="footnote reference"/>
    <w:basedOn w:val="a0"/>
    <w:uiPriority w:val="99"/>
    <w:unhideWhenUsed/>
    <w:rsid w:val="00A17FFE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17FFE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A17FFE"/>
  </w:style>
  <w:style w:type="paragraph" w:customStyle="1" w:styleId="ConsPlusNonformat">
    <w:name w:val="ConsPlusNonformat"/>
    <w:uiPriority w:val="99"/>
    <w:rsid w:val="00A17F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CF4943"/>
    <w:pPr>
      <w:widowControl w:val="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ZOGLAV\AppData\Local\Temp\bdttmp\84f953e6-4f47-4c2e-b64a-0bb73496a56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2CF49-69D9-4627-8D66-1B25CFEF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84f953e6-4f47-4c2e-b64a-0bb73496a56b.dot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SKZOGLAV</dc:creator>
  <cp:lastModifiedBy>Совет Депутатов - Ремнева Е.И.</cp:lastModifiedBy>
  <cp:revision>5</cp:revision>
  <cp:lastPrinted>2021-11-16T14:52:00Z</cp:lastPrinted>
  <dcterms:created xsi:type="dcterms:W3CDTF">2022-02-25T09:42:00Z</dcterms:created>
  <dcterms:modified xsi:type="dcterms:W3CDTF">2022-02-25T12:10:00Z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479b4814-8073-491a-bbc5-b8d1d8dcd16c</vt:lpwstr>
  </property>
</Properties>
</file>