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0726" w14:textId="77777777" w:rsidR="00F736D3" w:rsidRPr="00F74776" w:rsidRDefault="00F736D3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310064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bookmarkStart w:id="0" w:name="_Hlk75254744"/>
      <w:r w:rsidRPr="00B8347D">
        <w:rPr>
          <w:bCs/>
        </w:rPr>
        <w:t>Приложение № 1</w:t>
      </w:r>
    </w:p>
    <w:p w14:paraId="28CEE5C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2452F943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1E31489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63BBC7F6" w14:textId="2FA23823" w:rsidR="00F736D3" w:rsidRDefault="00F736D3" w:rsidP="00F736D3">
      <w:pPr>
        <w:ind w:right="587" w:firstLine="709"/>
        <w:jc w:val="right"/>
        <w:rPr>
          <w:b/>
        </w:rPr>
      </w:pPr>
      <w:r w:rsidRPr="00B8347D">
        <w:rPr>
          <w:bCs/>
        </w:rPr>
        <w:t xml:space="preserve">от </w:t>
      </w:r>
      <w:r w:rsidR="00E46626">
        <w:rPr>
          <w:bCs/>
        </w:rPr>
        <w:t>2</w:t>
      </w:r>
      <w:r w:rsidR="002271E1">
        <w:rPr>
          <w:bCs/>
        </w:rPr>
        <w:t>7</w:t>
      </w:r>
      <w:r w:rsidRPr="00B8347D">
        <w:rPr>
          <w:bCs/>
        </w:rPr>
        <w:t>.</w:t>
      </w:r>
      <w:r>
        <w:rPr>
          <w:bCs/>
        </w:rPr>
        <w:t>0</w:t>
      </w:r>
      <w:r w:rsidR="00F55CDA">
        <w:rPr>
          <w:bCs/>
        </w:rPr>
        <w:t>6</w:t>
      </w:r>
      <w:r w:rsidRPr="00B8347D">
        <w:rPr>
          <w:bCs/>
        </w:rPr>
        <w:t>.202</w:t>
      </w:r>
      <w:r w:rsidR="002271E1">
        <w:rPr>
          <w:bCs/>
        </w:rPr>
        <w:t>2</w:t>
      </w:r>
      <w:r w:rsidRPr="00B8347D">
        <w:rPr>
          <w:bCs/>
        </w:rPr>
        <w:t xml:space="preserve"> № </w:t>
      </w:r>
      <w:r w:rsidR="00F55CDA">
        <w:rPr>
          <w:bCs/>
        </w:rPr>
        <w:t>10</w:t>
      </w:r>
      <w:r w:rsidRPr="00B8347D">
        <w:rPr>
          <w:bCs/>
        </w:rPr>
        <w:t>/04-0</w:t>
      </w:r>
      <w:r>
        <w:rPr>
          <w:bCs/>
        </w:rPr>
        <w:t>2</w:t>
      </w:r>
    </w:p>
    <w:p w14:paraId="35F31E28" w14:textId="77777777" w:rsidR="00F736D3" w:rsidRPr="00EF500A" w:rsidRDefault="00F736D3" w:rsidP="00F736D3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4AD8ACB0" w14:textId="77777777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7565B2B4" w14:textId="11DE0A8E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F55CDA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</w:t>
      </w:r>
      <w:r w:rsidR="002271E1">
        <w:rPr>
          <w:b/>
        </w:rPr>
        <w:t>2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9858A44" w14:textId="77777777" w:rsidR="00F736D3" w:rsidRPr="00EF500A" w:rsidRDefault="00F736D3" w:rsidP="00F736D3">
      <w:pPr>
        <w:ind w:right="587" w:firstLine="709"/>
        <w:jc w:val="center"/>
        <w:rPr>
          <w:b/>
        </w:rPr>
      </w:pPr>
    </w:p>
    <w:tbl>
      <w:tblPr>
        <w:tblW w:w="25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67"/>
        <w:gridCol w:w="1842"/>
        <w:gridCol w:w="1783"/>
        <w:gridCol w:w="27"/>
        <w:gridCol w:w="6"/>
        <w:gridCol w:w="920"/>
        <w:gridCol w:w="142"/>
        <w:gridCol w:w="4059"/>
        <w:gridCol w:w="5886"/>
        <w:gridCol w:w="4060"/>
      </w:tblGrid>
      <w:tr w:rsidR="00F736D3" w:rsidRPr="00191FCA" w14:paraId="73C4F104" w14:textId="77777777" w:rsidTr="00C20F8D">
        <w:trPr>
          <w:gridAfter w:val="6"/>
          <w:wAfter w:w="15073" w:type="dxa"/>
          <w:trHeight w:val="1021"/>
        </w:trPr>
        <w:tc>
          <w:tcPr>
            <w:tcW w:w="709" w:type="dxa"/>
            <w:shd w:val="pct10" w:color="auto" w:fill="auto"/>
          </w:tcPr>
          <w:p w14:paraId="73163BAD" w14:textId="77777777" w:rsidR="00F736D3" w:rsidRPr="00191FCA" w:rsidRDefault="00F736D3" w:rsidP="00E81191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067" w:type="dxa"/>
            <w:shd w:val="pct10" w:color="auto" w:fill="auto"/>
          </w:tcPr>
          <w:p w14:paraId="36FC480C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</w:p>
          <w:p w14:paraId="0764B2EE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842" w:type="dxa"/>
            <w:shd w:val="pct10" w:color="auto" w:fill="auto"/>
          </w:tcPr>
          <w:p w14:paraId="3D30FB46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1B2489B8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10" w:type="dxa"/>
            <w:gridSpan w:val="2"/>
            <w:shd w:val="pct10" w:color="auto" w:fill="auto"/>
          </w:tcPr>
          <w:p w14:paraId="63C410CA" w14:textId="77777777" w:rsidR="00F736D3" w:rsidRPr="00191FCA" w:rsidRDefault="00F736D3" w:rsidP="00FF22A5">
            <w:pPr>
              <w:suppressAutoHyphens/>
              <w:ind w:right="-5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736D3" w:rsidRPr="00191FCA" w14:paraId="0C482EF0" w14:textId="77777777" w:rsidTr="00C20F8D">
        <w:tc>
          <w:tcPr>
            <w:tcW w:w="10434" w:type="dxa"/>
            <w:gridSpan w:val="6"/>
          </w:tcPr>
          <w:p w14:paraId="655F2C46" w14:textId="77777777" w:rsidR="00F736D3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0F326328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121" w:type="dxa"/>
            <w:gridSpan w:val="3"/>
            <w:tcBorders>
              <w:top w:val="nil"/>
              <w:bottom w:val="nil"/>
            </w:tcBorders>
          </w:tcPr>
          <w:p w14:paraId="1B12B453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6" w:type="dxa"/>
            <w:gridSpan w:val="2"/>
          </w:tcPr>
          <w:p w14:paraId="379C8FDF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F55CDA" w:rsidRPr="00191FCA" w14:paraId="0024B40D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83D6742" w14:textId="77777777" w:rsidR="00F55CDA" w:rsidRPr="00191FCA" w:rsidRDefault="00F55CDA" w:rsidP="00F55C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76AF200C" w14:textId="44F1B0E9" w:rsidR="00F55CDA" w:rsidRPr="00E64F86" w:rsidRDefault="00FD0B35" w:rsidP="00F55CDA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законности, эффективности и целевого использования бюджетных средств на реализацию</w:t>
            </w:r>
            <w:r w:rsidR="00EC0D23">
              <w:rPr>
                <w:bCs/>
                <w:lang w:eastAsia="en-US"/>
              </w:rPr>
              <w:t xml:space="preserve"> проекта «Я планирую бюджет» в 2020 г., 2021 г., текущий период 2022 г.</w:t>
            </w:r>
          </w:p>
        </w:tc>
        <w:tc>
          <w:tcPr>
            <w:tcW w:w="1842" w:type="dxa"/>
          </w:tcPr>
          <w:p w14:paraId="793E80D6" w14:textId="61722FD6" w:rsidR="00F55CDA" w:rsidRPr="00191FCA" w:rsidRDefault="00EC0D23" w:rsidP="00F55CDA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 - август</w:t>
            </w:r>
          </w:p>
        </w:tc>
        <w:tc>
          <w:tcPr>
            <w:tcW w:w="1810" w:type="dxa"/>
            <w:gridSpan w:val="2"/>
          </w:tcPr>
          <w:p w14:paraId="6DE187D4" w14:textId="11EE7109" w:rsidR="00F55CDA" w:rsidRPr="00191FCA" w:rsidRDefault="00F55CDA" w:rsidP="00F55CDA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FD02D2" w:rsidRPr="00191FCA" w14:paraId="1C96AF1D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3197A78" w14:textId="057B1593" w:rsidR="00FD02D2" w:rsidRPr="00191FCA" w:rsidRDefault="00FD02D2" w:rsidP="00F55C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067" w:type="dxa"/>
          </w:tcPr>
          <w:p w14:paraId="237C23D7" w14:textId="4BB8C014" w:rsidR="00FD02D2" w:rsidRDefault="00FD02D2" w:rsidP="00F55CDA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эффективности и целевого использования бюджетных средств на реализацию муниципальной программы </w:t>
            </w:r>
            <w:r w:rsidR="00C20F8D" w:rsidRPr="00C20F8D">
              <w:rPr>
                <w:bCs/>
                <w:lang w:eastAsia="en-US"/>
              </w:rPr>
              <w:t>Сосновоборского городского округа "Безопасность жизнедеятельности населения в Сосновоборском городском округе на 2014 - 2025 годы"</w:t>
            </w:r>
            <w:r w:rsidR="00C20F8D">
              <w:rPr>
                <w:bCs/>
                <w:lang w:eastAsia="en-US"/>
              </w:rPr>
              <w:t xml:space="preserve"> за период 2020 г., 2021 г., текущий период 2022 г.</w:t>
            </w:r>
          </w:p>
        </w:tc>
        <w:tc>
          <w:tcPr>
            <w:tcW w:w="1842" w:type="dxa"/>
          </w:tcPr>
          <w:p w14:paraId="6C77A534" w14:textId="168D54EB" w:rsidR="00FD02D2" w:rsidRDefault="00C20F8D" w:rsidP="00F55CDA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810" w:type="dxa"/>
            <w:gridSpan w:val="2"/>
          </w:tcPr>
          <w:p w14:paraId="45099B46" w14:textId="77777777" w:rsidR="00FD02D2" w:rsidRPr="00191FCA" w:rsidRDefault="00FD02D2" w:rsidP="00F55CDA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F736D3" w:rsidRPr="00191FCA" w14:paraId="2DEE48A5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645261C" w14:textId="3BCDD926" w:rsidR="00F736D3" w:rsidRPr="00191FCA" w:rsidRDefault="00FD02D2" w:rsidP="00E8119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736D3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5D3C960" w14:textId="7C5ED071" w:rsidR="00F736D3" w:rsidRPr="00365AE6" w:rsidRDefault="00F736D3" w:rsidP="00E81191">
            <w:pPr>
              <w:tabs>
                <w:tab w:val="left" w:pos="0"/>
              </w:tabs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</w:t>
            </w:r>
            <w:r w:rsidRPr="00365AE6">
              <w:t xml:space="preserve">в </w:t>
            </w:r>
            <w:r>
              <w:t>202</w:t>
            </w:r>
            <w:r w:rsidR="002271E1">
              <w:t>1</w:t>
            </w:r>
            <w:r>
              <w:t>, 20</w:t>
            </w:r>
            <w:r w:rsidRPr="005D2762">
              <w:t>2</w:t>
            </w:r>
            <w:r w:rsidR="002271E1">
              <w:t>2</w:t>
            </w:r>
            <w:r>
              <w:t xml:space="preserve"> годах.</w:t>
            </w:r>
          </w:p>
        </w:tc>
        <w:tc>
          <w:tcPr>
            <w:tcW w:w="1842" w:type="dxa"/>
          </w:tcPr>
          <w:p w14:paraId="68E15378" w14:textId="43D33D89" w:rsidR="00F736D3" w:rsidRPr="008708BE" w:rsidRDefault="00A11AFA" w:rsidP="00E81191">
            <w:pPr>
              <w:ind w:right="66"/>
              <w:jc w:val="center"/>
            </w:pPr>
            <w:r>
              <w:rPr>
                <w:bCs/>
                <w:lang w:eastAsia="en-US"/>
              </w:rPr>
              <w:t>Июль-сентябрь</w:t>
            </w:r>
          </w:p>
        </w:tc>
        <w:tc>
          <w:tcPr>
            <w:tcW w:w="1810" w:type="dxa"/>
            <w:gridSpan w:val="2"/>
          </w:tcPr>
          <w:p w14:paraId="274C1C81" w14:textId="77777777" w:rsidR="00F736D3" w:rsidRPr="008708BE" w:rsidRDefault="00F736D3" w:rsidP="00E81191">
            <w:pPr>
              <w:ind w:right="587"/>
              <w:jc w:val="center"/>
            </w:pPr>
          </w:p>
        </w:tc>
      </w:tr>
      <w:tr w:rsidR="00F736D3" w:rsidRPr="00191FCA" w14:paraId="602C16FE" w14:textId="77777777" w:rsidTr="00C20F8D">
        <w:trPr>
          <w:gridAfter w:val="1"/>
          <w:wAfter w:w="4060" w:type="dxa"/>
        </w:trPr>
        <w:tc>
          <w:tcPr>
            <w:tcW w:w="10434" w:type="dxa"/>
            <w:gridSpan w:val="6"/>
          </w:tcPr>
          <w:p w14:paraId="02C73E9B" w14:textId="77777777" w:rsidR="00F736D3" w:rsidRPr="00191FCA" w:rsidRDefault="00F736D3" w:rsidP="00E8119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0B95FB4" w14:textId="77777777" w:rsidR="00F736D3" w:rsidRPr="00191FCA" w:rsidRDefault="00F736D3" w:rsidP="00E8119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5" w:type="dxa"/>
            <w:gridSpan w:val="2"/>
          </w:tcPr>
          <w:p w14:paraId="52995A5A" w14:textId="77777777" w:rsidR="00F736D3" w:rsidRPr="00191FCA" w:rsidRDefault="00F736D3" w:rsidP="00E81191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FD0B35" w:rsidRPr="00191FCA" w14:paraId="123A448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7EC447A3" w14:textId="74AD37C1" w:rsidR="00FD0B35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067" w:type="dxa"/>
          </w:tcPr>
          <w:p w14:paraId="4AFD3AE4" w14:textId="5E1EEB07" w:rsidR="00FD0B35" w:rsidRPr="001F7C18" w:rsidRDefault="00FD0B35" w:rsidP="00FD0B35">
            <w:pPr>
              <w:widowControl w:val="0"/>
              <w:suppressAutoHyphens/>
              <w:ind w:right="587"/>
              <w:jc w:val="both"/>
            </w:pPr>
            <w:r>
              <w:rPr>
                <w:bCs/>
                <w:lang w:eastAsia="en-US"/>
              </w:rPr>
              <w:t>Оценка реализации в Ленинградской области в 2021 году и текущем периоде 2022 года регионального проекта Ленинградской области «Цифровизация услуг и формирование информационного пространства в сфере культуры («Цифровая культура») (Ленинградская область)» национального проекта «Культура»</w:t>
            </w:r>
          </w:p>
        </w:tc>
        <w:tc>
          <w:tcPr>
            <w:tcW w:w="1842" w:type="dxa"/>
          </w:tcPr>
          <w:p w14:paraId="6F2465E4" w14:textId="77777777" w:rsidR="00FD0B35" w:rsidRDefault="00FD0B35" w:rsidP="00FF22A5">
            <w:pPr>
              <w:widowControl w:val="0"/>
              <w:tabs>
                <w:tab w:val="left" w:pos="40"/>
              </w:tabs>
              <w:suppressAutoHyphens/>
              <w:ind w:right="-105"/>
              <w:jc w:val="center"/>
            </w:pPr>
            <w:r>
              <w:t xml:space="preserve">Июль </w:t>
            </w:r>
          </w:p>
          <w:p w14:paraId="39FD5418" w14:textId="77777777" w:rsidR="00BD7E5E" w:rsidRDefault="00FD0B35" w:rsidP="00FF22A5">
            <w:pPr>
              <w:widowControl w:val="0"/>
              <w:tabs>
                <w:tab w:val="left" w:pos="40"/>
              </w:tabs>
              <w:suppressAutoHyphens/>
              <w:ind w:right="-105"/>
              <w:jc w:val="center"/>
            </w:pPr>
            <w:r>
              <w:t>Продолж</w:t>
            </w:r>
            <w:r w:rsidR="00BD7E5E">
              <w:t>е</w:t>
            </w:r>
            <w:r>
              <w:t xml:space="preserve">ние </w:t>
            </w:r>
          </w:p>
          <w:p w14:paraId="6FC90E46" w14:textId="72DD972B" w:rsidR="00FD0B35" w:rsidRDefault="00FD0B35" w:rsidP="00FF22A5">
            <w:pPr>
              <w:widowControl w:val="0"/>
              <w:tabs>
                <w:tab w:val="left" w:pos="40"/>
              </w:tabs>
              <w:suppressAutoHyphens/>
              <w:ind w:right="-105"/>
              <w:jc w:val="center"/>
            </w:pPr>
            <w:r>
              <w:t>со 2 квартала</w:t>
            </w:r>
          </w:p>
        </w:tc>
        <w:tc>
          <w:tcPr>
            <w:tcW w:w="1810" w:type="dxa"/>
            <w:gridSpan w:val="2"/>
          </w:tcPr>
          <w:p w14:paraId="0F357E48" w14:textId="1280FF31" w:rsidR="00FD0B35" w:rsidRPr="00191FCA" w:rsidRDefault="00FD0B35" w:rsidP="00FF22A5">
            <w:pPr>
              <w:widowControl w:val="0"/>
              <w:suppressAutoHyphens/>
              <w:jc w:val="center"/>
            </w:pPr>
            <w:r>
              <w:t>Совместно с КСП ЛО</w:t>
            </w:r>
          </w:p>
        </w:tc>
      </w:tr>
      <w:tr w:rsidR="006877DC" w:rsidRPr="00191FCA" w14:paraId="46CE25DE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E20A79C" w14:textId="3985E8CE" w:rsidR="006877DC" w:rsidRDefault="006877DC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067" w:type="dxa"/>
          </w:tcPr>
          <w:p w14:paraId="55CAEDE7" w14:textId="0AFEB43B" w:rsidR="006877DC" w:rsidRDefault="006877DC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 в сфере закупок товаров, работ, услуг при использовании средств дорожного фонда на строительство (реконструкцию) и капитальный ремонт (ремонт) дорог</w:t>
            </w:r>
            <w:r w:rsidR="00A94CEC">
              <w:rPr>
                <w:bCs/>
                <w:lang w:eastAsia="en-US"/>
              </w:rPr>
              <w:t xml:space="preserve"> в 2021 г., текущий период 2022 г.</w:t>
            </w:r>
          </w:p>
        </w:tc>
        <w:tc>
          <w:tcPr>
            <w:tcW w:w="1842" w:type="dxa"/>
          </w:tcPr>
          <w:p w14:paraId="651595C6" w14:textId="50E9A5FE" w:rsidR="006877DC" w:rsidRDefault="00A94CEC" w:rsidP="00FF22A5">
            <w:pPr>
              <w:widowControl w:val="0"/>
              <w:suppressAutoHyphens/>
              <w:ind w:right="-105"/>
              <w:jc w:val="center"/>
            </w:pPr>
            <w:r>
              <w:t>Август-сентябрь</w:t>
            </w:r>
          </w:p>
        </w:tc>
        <w:tc>
          <w:tcPr>
            <w:tcW w:w="1810" w:type="dxa"/>
            <w:gridSpan w:val="2"/>
          </w:tcPr>
          <w:p w14:paraId="081FCB7D" w14:textId="77777777" w:rsidR="006877DC" w:rsidRDefault="006877DC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679AE8C7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167B087C" w14:textId="2DC06B80" w:rsidR="00FD0B35" w:rsidRPr="00191FCA" w:rsidRDefault="00A94CEC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09013A58" w14:textId="6674C5C0" w:rsidR="00FD0B35" w:rsidRPr="001F7C18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0F27E56A" w14:textId="77777777" w:rsidR="00FD0B35" w:rsidRPr="00191FCA" w:rsidRDefault="00FD0B35" w:rsidP="00FF22A5">
            <w:pPr>
              <w:widowControl w:val="0"/>
              <w:suppressAutoHyphens/>
              <w:ind w:right="36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10" w:type="dxa"/>
            <w:gridSpan w:val="2"/>
          </w:tcPr>
          <w:p w14:paraId="0898C3C4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28DAF04A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3CE10B6F" w14:textId="04B560AA" w:rsidR="00FD0B35" w:rsidRPr="00191FCA" w:rsidRDefault="00A94CEC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208085CE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7D99F990" w14:textId="77777777" w:rsidR="00FD0B35" w:rsidRPr="00191FCA" w:rsidRDefault="00FD0B35" w:rsidP="00FF22A5">
            <w:pPr>
              <w:widowControl w:val="0"/>
              <w:suppressAutoHyphens/>
              <w:ind w:right="36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1707FF54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6891CDED" w14:textId="77777777" w:rsidTr="00C20F8D">
        <w:trPr>
          <w:gridAfter w:val="7"/>
          <w:wAfter w:w="15100" w:type="dxa"/>
        </w:trPr>
        <w:tc>
          <w:tcPr>
            <w:tcW w:w="709" w:type="dxa"/>
          </w:tcPr>
          <w:p w14:paraId="72411841" w14:textId="5C5ACEEF" w:rsidR="00FD0B35" w:rsidRPr="00191FCA" w:rsidRDefault="00A94CEC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64C597E" w14:textId="75EB16DA" w:rsidR="00FD0B35" w:rsidRPr="001F7C18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</w:t>
            </w:r>
            <w:r w:rsidRPr="001F7C18">
              <w:lastRenderedPageBreak/>
              <w:t>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t xml:space="preserve"> </w:t>
            </w:r>
            <w:r w:rsidRPr="001F7C18">
              <w:t>местного бюджета</w:t>
            </w:r>
            <w:r>
              <w:t xml:space="preserve"> </w:t>
            </w:r>
            <w:r w:rsidRPr="001F7C18">
              <w:t>и имущества</w:t>
            </w:r>
            <w:r>
              <w:t xml:space="preserve">, </w:t>
            </w:r>
            <w:r w:rsidRPr="001F7C18">
              <w:t>находящегося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7A12158E" w14:textId="77777777" w:rsidR="00FD0B35" w:rsidRPr="00191FCA" w:rsidRDefault="00FD0B35" w:rsidP="00FF22A5">
            <w:pPr>
              <w:widowControl w:val="0"/>
              <w:suppressAutoHyphens/>
              <w:ind w:right="36"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83" w:type="dxa"/>
          </w:tcPr>
          <w:p w14:paraId="22D1E02C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3E169249" w14:textId="77777777" w:rsidTr="00C20F8D">
        <w:trPr>
          <w:gridAfter w:val="7"/>
          <w:wAfter w:w="15100" w:type="dxa"/>
        </w:trPr>
        <w:tc>
          <w:tcPr>
            <w:tcW w:w="709" w:type="dxa"/>
          </w:tcPr>
          <w:p w14:paraId="3C95E40D" w14:textId="62D17E10" w:rsidR="00FD0B35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067" w:type="dxa"/>
          </w:tcPr>
          <w:p w14:paraId="5D5A903A" w14:textId="1AEAB892" w:rsidR="00FD0B35" w:rsidRPr="001F7C18" w:rsidRDefault="00FD0B35" w:rsidP="00FD0B35">
            <w:pPr>
              <w:widowControl w:val="0"/>
              <w:suppressAutoHyphens/>
              <w:ind w:right="587"/>
              <w:jc w:val="both"/>
            </w:pPr>
            <w:r w:rsidRPr="00F935D4">
              <w:rPr>
                <w:bCs/>
                <w:lang w:eastAsia="en-US"/>
              </w:rPr>
              <w:t xml:space="preserve">Анализ информации о ходе исполнения бюджета Сосновоборского городского округа за 1 </w:t>
            </w:r>
            <w:r>
              <w:rPr>
                <w:bCs/>
                <w:lang w:eastAsia="en-US"/>
              </w:rPr>
              <w:t>полугодие 2022 года</w:t>
            </w:r>
          </w:p>
        </w:tc>
        <w:tc>
          <w:tcPr>
            <w:tcW w:w="1842" w:type="dxa"/>
          </w:tcPr>
          <w:p w14:paraId="765BE22D" w14:textId="07ABA607" w:rsidR="00FD0B35" w:rsidRDefault="00FD0B35" w:rsidP="00FF22A5">
            <w:pPr>
              <w:widowControl w:val="0"/>
              <w:tabs>
                <w:tab w:val="left" w:pos="0"/>
              </w:tabs>
              <w:suppressAutoHyphens/>
              <w:ind w:right="-105"/>
              <w:jc w:val="center"/>
            </w:pPr>
            <w:r>
              <w:t>Июль, август</w:t>
            </w:r>
          </w:p>
        </w:tc>
        <w:tc>
          <w:tcPr>
            <w:tcW w:w="1783" w:type="dxa"/>
          </w:tcPr>
          <w:p w14:paraId="3E00C1C6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6A504A43" w14:textId="77777777" w:rsidTr="00C20F8D">
        <w:trPr>
          <w:gridAfter w:val="7"/>
          <w:wAfter w:w="15100" w:type="dxa"/>
        </w:trPr>
        <w:tc>
          <w:tcPr>
            <w:tcW w:w="709" w:type="dxa"/>
          </w:tcPr>
          <w:p w14:paraId="02F6CDB2" w14:textId="75AB47EA" w:rsidR="00FD0B35" w:rsidRPr="00F611D2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067" w:type="dxa"/>
          </w:tcPr>
          <w:p w14:paraId="513DCA9A" w14:textId="120C9991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22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2023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24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4A9264D7" w14:textId="39D7BB59" w:rsidR="00FD0B35" w:rsidRPr="00F21A59" w:rsidRDefault="00FD0B35" w:rsidP="00FF22A5">
            <w:pPr>
              <w:widowControl w:val="0"/>
              <w:tabs>
                <w:tab w:val="left" w:pos="0"/>
              </w:tabs>
              <w:suppressAutoHyphens/>
              <w:ind w:right="-105"/>
              <w:jc w:val="center"/>
            </w:pPr>
            <w:r>
              <w:t xml:space="preserve">Сентябрь </w:t>
            </w:r>
          </w:p>
        </w:tc>
        <w:tc>
          <w:tcPr>
            <w:tcW w:w="1783" w:type="dxa"/>
          </w:tcPr>
          <w:p w14:paraId="6D33765A" w14:textId="77777777" w:rsidR="00FD0B35" w:rsidRPr="00F21A59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766D8EF7" w14:textId="77777777" w:rsidTr="00C20F8D">
        <w:trPr>
          <w:gridAfter w:val="4"/>
          <w:wAfter w:w="14147" w:type="dxa"/>
        </w:trPr>
        <w:tc>
          <w:tcPr>
            <w:tcW w:w="10434" w:type="dxa"/>
            <w:gridSpan w:val="6"/>
          </w:tcPr>
          <w:p w14:paraId="253DD804" w14:textId="77777777" w:rsidR="00FD0B35" w:rsidRPr="00191FCA" w:rsidRDefault="00FD0B35" w:rsidP="00FD0B35">
            <w:pPr>
              <w:widowControl w:val="0"/>
              <w:suppressAutoHyphens/>
              <w:ind w:right="-109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094C59A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FD0B35" w:rsidRPr="00191FCA" w14:paraId="3C55054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64129AC1" w14:textId="77777777" w:rsidR="00FD0B35" w:rsidRPr="00191FCA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067" w:type="dxa"/>
          </w:tcPr>
          <w:p w14:paraId="38C7D63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</w:t>
            </w:r>
            <w:r>
              <w:rPr>
                <w:bCs/>
                <w:lang w:eastAsia="en-US"/>
              </w:rPr>
              <w:t>результатах проведенных мероприятий</w:t>
            </w:r>
            <w:r w:rsidRPr="00191FC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Контрольно-счетной палатой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</w:t>
            </w:r>
            <w:proofErr w:type="gramStart"/>
            <w:r w:rsidRPr="00191FCA">
              <w:rPr>
                <w:bCs/>
                <w:lang w:eastAsia="en-US"/>
              </w:rPr>
              <w:t>аналитического  мероприятий</w:t>
            </w:r>
            <w:proofErr w:type="gramEnd"/>
            <w:r w:rsidRPr="00191FCA">
              <w:rPr>
                <w:bCs/>
                <w:lang w:eastAsia="en-US"/>
              </w:rPr>
              <w:t xml:space="preserve"> на официальный сайт</w:t>
            </w:r>
            <w:r>
              <w:rPr>
                <w:bCs/>
                <w:lang w:eastAsia="en-US"/>
              </w:rPr>
              <w:t xml:space="preserve"> Сосновоборского городского округа.</w:t>
            </w:r>
          </w:p>
        </w:tc>
        <w:tc>
          <w:tcPr>
            <w:tcW w:w="1842" w:type="dxa"/>
          </w:tcPr>
          <w:p w14:paraId="65722910" w14:textId="77777777" w:rsidR="00FD0B35" w:rsidRPr="00191FCA" w:rsidRDefault="00FD0B35" w:rsidP="00FF22A5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679E3B47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1949FB34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4B889FA" w14:textId="77777777" w:rsidR="00FD0B35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067" w:type="dxa"/>
          </w:tcPr>
          <w:p w14:paraId="5692081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93637">
              <w:rPr>
                <w:bCs/>
                <w:lang w:eastAsia="en-US"/>
              </w:rPr>
              <w:t xml:space="preserve">Подготовка информации о результатах проведенных мероприятий Контрольно-счетной палатой Сосновоборского городского округа </w:t>
            </w:r>
            <w:r>
              <w:rPr>
                <w:bCs/>
                <w:lang w:eastAsia="en-US"/>
              </w:rPr>
              <w:t>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842" w:type="dxa"/>
          </w:tcPr>
          <w:p w14:paraId="3B4D7D7A" w14:textId="77777777" w:rsidR="00FD0B35" w:rsidRDefault="00FD0B35" w:rsidP="00FF22A5">
            <w:pPr>
              <w:widowControl w:val="0"/>
              <w:suppressAutoHyphens/>
              <w:jc w:val="center"/>
            </w:pPr>
            <w:r w:rsidRPr="00D93637">
              <w:t>В течение квартала</w:t>
            </w:r>
          </w:p>
        </w:tc>
        <w:tc>
          <w:tcPr>
            <w:tcW w:w="1810" w:type="dxa"/>
            <w:gridSpan w:val="2"/>
          </w:tcPr>
          <w:p w14:paraId="26D3755B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38D199CB" w14:textId="77777777" w:rsidTr="00C20F8D">
        <w:trPr>
          <w:gridAfter w:val="3"/>
          <w:wAfter w:w="14005" w:type="dxa"/>
        </w:trPr>
        <w:tc>
          <w:tcPr>
            <w:tcW w:w="10434" w:type="dxa"/>
            <w:gridSpan w:val="6"/>
          </w:tcPr>
          <w:p w14:paraId="4636B6E2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C12D065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FD0B35" w:rsidRPr="00191FCA" w14:paraId="75B3315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5C05D830" w14:textId="77777777" w:rsidR="00FD0B35" w:rsidRPr="00191FCA" w:rsidRDefault="00FD0B35" w:rsidP="00FD0B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067" w:type="dxa"/>
          </w:tcPr>
          <w:p w14:paraId="6743824D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14:paraId="23EAAE26" w14:textId="77777777" w:rsidR="00FD0B35" w:rsidRPr="00191FCA" w:rsidRDefault="00FD0B35" w:rsidP="00FF22A5">
            <w:pPr>
              <w:widowControl w:val="0"/>
              <w:suppressAutoHyphens/>
              <w:ind w:right="-105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7D27AA0A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32DF4F75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187E9EA5" w14:textId="1D32D141" w:rsidR="00FD0B35" w:rsidRPr="00191FCA" w:rsidRDefault="00FD0B35" w:rsidP="00FD0B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C98DD4F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</w:t>
            </w:r>
            <w:proofErr w:type="gramStart"/>
            <w:r w:rsidRPr="00191FCA">
              <w:rPr>
                <w:bCs/>
              </w:rPr>
              <w:t>семинарах,  круглых</w:t>
            </w:r>
            <w:proofErr w:type="gramEnd"/>
            <w:r w:rsidRPr="00191FCA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842" w:type="dxa"/>
          </w:tcPr>
          <w:p w14:paraId="1F6EF079" w14:textId="77777777" w:rsidR="00FD0B35" w:rsidRPr="00676A48" w:rsidRDefault="00FD0B35" w:rsidP="00FF22A5">
            <w:pPr>
              <w:widowControl w:val="0"/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810" w:type="dxa"/>
            <w:gridSpan w:val="2"/>
          </w:tcPr>
          <w:p w14:paraId="7E0C2473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11A3800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3BF802C3" w14:textId="2B917797" w:rsidR="00FD0B35" w:rsidRPr="00191FCA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348EC2B7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842" w:type="dxa"/>
          </w:tcPr>
          <w:p w14:paraId="63D0B215" w14:textId="77777777" w:rsidR="00FD0B35" w:rsidRPr="00676A48" w:rsidRDefault="00FD0B35" w:rsidP="00FF22A5">
            <w:pPr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584CB408" w14:textId="77777777" w:rsidR="00FD0B35" w:rsidRPr="00191FCA" w:rsidRDefault="00FD0B35" w:rsidP="00FD0B35">
            <w:pPr>
              <w:suppressAutoHyphens/>
              <w:ind w:right="587"/>
              <w:jc w:val="center"/>
            </w:pPr>
          </w:p>
        </w:tc>
      </w:tr>
      <w:tr w:rsidR="00FD0B35" w:rsidRPr="00245688" w14:paraId="0AC6EABF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87386AD" w14:textId="1EC23921" w:rsidR="00FD0B35" w:rsidRPr="00191FCA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1302778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842" w:type="dxa"/>
          </w:tcPr>
          <w:p w14:paraId="60B090B1" w14:textId="77777777" w:rsidR="00FD0B35" w:rsidRPr="00676A48" w:rsidRDefault="00FD0B35" w:rsidP="00FF22A5">
            <w:pPr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70ABD2E7" w14:textId="77777777" w:rsidR="00FD0B35" w:rsidRPr="00F611D2" w:rsidRDefault="00FD0B35" w:rsidP="00FD0B35">
            <w:pPr>
              <w:suppressAutoHyphens/>
              <w:ind w:right="587"/>
              <w:jc w:val="center"/>
            </w:pPr>
          </w:p>
        </w:tc>
      </w:tr>
      <w:tr w:rsidR="00FD0B35" w:rsidRPr="00245688" w14:paraId="0146892A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0C285A8F" w14:textId="2561E1D0" w:rsidR="00FD0B35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067" w:type="dxa"/>
          </w:tcPr>
          <w:p w14:paraId="0326EA22" w14:textId="1FF55E06" w:rsidR="00FD0B35" w:rsidRPr="00191FCA" w:rsidRDefault="00FD0B35" w:rsidP="00FD0B35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4 квартал 2022.</w:t>
            </w:r>
          </w:p>
        </w:tc>
        <w:tc>
          <w:tcPr>
            <w:tcW w:w="1842" w:type="dxa"/>
          </w:tcPr>
          <w:p w14:paraId="06F0C716" w14:textId="00BC3D67" w:rsidR="00FD0B35" w:rsidRPr="00F611D2" w:rsidRDefault="00FD0B35" w:rsidP="00FF22A5">
            <w:pPr>
              <w:suppressAutoHyphens/>
              <w:ind w:right="-105"/>
              <w:jc w:val="center"/>
            </w:pPr>
            <w:r>
              <w:t xml:space="preserve">Сентябрь </w:t>
            </w:r>
          </w:p>
        </w:tc>
        <w:tc>
          <w:tcPr>
            <w:tcW w:w="1810" w:type="dxa"/>
            <w:gridSpan w:val="2"/>
          </w:tcPr>
          <w:p w14:paraId="5E125B54" w14:textId="77777777" w:rsidR="00FD0B35" w:rsidRPr="00F611D2" w:rsidRDefault="00FD0B35" w:rsidP="00FD0B35">
            <w:pPr>
              <w:suppressAutoHyphens/>
              <w:ind w:right="587"/>
              <w:jc w:val="center"/>
            </w:pPr>
          </w:p>
        </w:tc>
      </w:tr>
    </w:tbl>
    <w:p w14:paraId="0A08CAC8" w14:textId="77777777" w:rsidR="00F736D3" w:rsidRDefault="00F736D3" w:rsidP="00F736D3">
      <w:pPr>
        <w:ind w:right="587"/>
      </w:pPr>
    </w:p>
    <w:p w14:paraId="0E5808D1" w14:textId="77777777" w:rsidR="00F736D3" w:rsidRDefault="00F736D3" w:rsidP="00F736D3">
      <w:pPr>
        <w:ind w:right="587"/>
      </w:pPr>
    </w:p>
    <w:p w14:paraId="6256F4B5" w14:textId="77777777" w:rsidR="00F736D3" w:rsidRDefault="00F736D3" w:rsidP="00F736D3">
      <w:pPr>
        <w:ind w:right="587"/>
      </w:pPr>
    </w:p>
    <w:bookmarkEnd w:id="0"/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D569A" w:rsidRPr="00F74776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191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37B2"/>
    <w:rsid w:val="00085FD6"/>
    <w:rsid w:val="000A6685"/>
    <w:rsid w:val="000B5D64"/>
    <w:rsid w:val="000B7DB3"/>
    <w:rsid w:val="000C0F73"/>
    <w:rsid w:val="000C715E"/>
    <w:rsid w:val="000E592A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14B5D"/>
    <w:rsid w:val="002271E1"/>
    <w:rsid w:val="00247401"/>
    <w:rsid w:val="00247EBE"/>
    <w:rsid w:val="00297CD5"/>
    <w:rsid w:val="002B26A0"/>
    <w:rsid w:val="002C431C"/>
    <w:rsid w:val="002C635B"/>
    <w:rsid w:val="002D093D"/>
    <w:rsid w:val="002E4948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410046"/>
    <w:rsid w:val="00427784"/>
    <w:rsid w:val="0047621D"/>
    <w:rsid w:val="0049027F"/>
    <w:rsid w:val="004920C1"/>
    <w:rsid w:val="004A028B"/>
    <w:rsid w:val="004B0E6A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877DC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C7690"/>
    <w:rsid w:val="00901784"/>
    <w:rsid w:val="009404AA"/>
    <w:rsid w:val="009636D5"/>
    <w:rsid w:val="0096658A"/>
    <w:rsid w:val="00967DD6"/>
    <w:rsid w:val="0099330A"/>
    <w:rsid w:val="009A685F"/>
    <w:rsid w:val="009A6F2E"/>
    <w:rsid w:val="009C0525"/>
    <w:rsid w:val="009C5944"/>
    <w:rsid w:val="009C6B60"/>
    <w:rsid w:val="009E6983"/>
    <w:rsid w:val="009F383E"/>
    <w:rsid w:val="009F755F"/>
    <w:rsid w:val="00A048E8"/>
    <w:rsid w:val="00A11AFA"/>
    <w:rsid w:val="00A1506E"/>
    <w:rsid w:val="00A2139F"/>
    <w:rsid w:val="00A6504E"/>
    <w:rsid w:val="00A7053D"/>
    <w:rsid w:val="00A72739"/>
    <w:rsid w:val="00A86558"/>
    <w:rsid w:val="00A9468E"/>
    <w:rsid w:val="00A94CEC"/>
    <w:rsid w:val="00AE3381"/>
    <w:rsid w:val="00B0255B"/>
    <w:rsid w:val="00B07662"/>
    <w:rsid w:val="00B11FE1"/>
    <w:rsid w:val="00B35C4B"/>
    <w:rsid w:val="00B8347D"/>
    <w:rsid w:val="00BC1119"/>
    <w:rsid w:val="00BD7E5E"/>
    <w:rsid w:val="00BE4357"/>
    <w:rsid w:val="00BF7176"/>
    <w:rsid w:val="00C16C3A"/>
    <w:rsid w:val="00C20F8D"/>
    <w:rsid w:val="00C30F3C"/>
    <w:rsid w:val="00C326DA"/>
    <w:rsid w:val="00C37498"/>
    <w:rsid w:val="00C539A1"/>
    <w:rsid w:val="00C54300"/>
    <w:rsid w:val="00C55BDE"/>
    <w:rsid w:val="00C61012"/>
    <w:rsid w:val="00C61DBF"/>
    <w:rsid w:val="00C74902"/>
    <w:rsid w:val="00C901C6"/>
    <w:rsid w:val="00CA5032"/>
    <w:rsid w:val="00CA6EDD"/>
    <w:rsid w:val="00CB45F6"/>
    <w:rsid w:val="00CC66BA"/>
    <w:rsid w:val="00CD1CD3"/>
    <w:rsid w:val="00D13904"/>
    <w:rsid w:val="00D533DE"/>
    <w:rsid w:val="00D536F3"/>
    <w:rsid w:val="00D5710A"/>
    <w:rsid w:val="00D77DBF"/>
    <w:rsid w:val="00DA29E2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46626"/>
    <w:rsid w:val="00E57B30"/>
    <w:rsid w:val="00E64F86"/>
    <w:rsid w:val="00E83616"/>
    <w:rsid w:val="00E83A31"/>
    <w:rsid w:val="00EA4ED6"/>
    <w:rsid w:val="00EB755A"/>
    <w:rsid w:val="00EC0D23"/>
    <w:rsid w:val="00ED2E8B"/>
    <w:rsid w:val="00EF3DE8"/>
    <w:rsid w:val="00F07ECB"/>
    <w:rsid w:val="00F15EE9"/>
    <w:rsid w:val="00F22846"/>
    <w:rsid w:val="00F22975"/>
    <w:rsid w:val="00F328DA"/>
    <w:rsid w:val="00F429B3"/>
    <w:rsid w:val="00F55CDA"/>
    <w:rsid w:val="00F736D3"/>
    <w:rsid w:val="00F76DDD"/>
    <w:rsid w:val="00F8414D"/>
    <w:rsid w:val="00FD02D2"/>
    <w:rsid w:val="00FD0B35"/>
    <w:rsid w:val="00FE03CD"/>
    <w:rsid w:val="00FF1840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3</cp:revision>
  <cp:lastPrinted>2022-06-29T12:12:00Z</cp:lastPrinted>
  <dcterms:created xsi:type="dcterms:W3CDTF">2022-06-29T12:14:00Z</dcterms:created>
  <dcterms:modified xsi:type="dcterms:W3CDTF">2022-06-29T12:15:00Z</dcterms:modified>
</cp:coreProperties>
</file>