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EA" w:rsidRPr="000A3F9D" w:rsidRDefault="003168EA" w:rsidP="003168EA">
      <w:pPr>
        <w:shd w:val="clear" w:color="auto" w:fill="FFFFFF"/>
        <w:jc w:val="right"/>
        <w:rPr>
          <w:bCs/>
          <w:sz w:val="24"/>
          <w:szCs w:val="24"/>
        </w:rPr>
      </w:pPr>
      <w:r w:rsidRPr="000A3F9D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А</w:t>
      </w:r>
    </w:p>
    <w:p w:rsidR="003168EA" w:rsidRPr="000A3F9D" w:rsidRDefault="003168EA" w:rsidP="003168EA">
      <w:pPr>
        <w:ind w:left="4235" w:firstLine="720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>постановлением администрации</w:t>
      </w:r>
    </w:p>
    <w:p w:rsidR="003168EA" w:rsidRPr="000A3F9D" w:rsidRDefault="003168EA" w:rsidP="003168EA">
      <w:pPr>
        <w:ind w:left="4235" w:firstLine="720"/>
        <w:jc w:val="right"/>
        <w:rPr>
          <w:b/>
          <w:bCs/>
          <w:sz w:val="24"/>
          <w:szCs w:val="24"/>
        </w:rPr>
      </w:pPr>
      <w:r w:rsidRPr="000A3F9D">
        <w:rPr>
          <w:sz w:val="24"/>
          <w:szCs w:val="24"/>
        </w:rPr>
        <w:t>Сосновоборского городского округа</w:t>
      </w:r>
    </w:p>
    <w:p w:rsidR="003168EA" w:rsidRPr="000A3F9D" w:rsidRDefault="003168EA" w:rsidP="003168EA">
      <w:pPr>
        <w:shd w:val="clear" w:color="auto" w:fill="FFFFFF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 xml:space="preserve">от </w:t>
      </w:r>
      <w:r>
        <w:rPr>
          <w:sz w:val="24"/>
          <w:szCs w:val="24"/>
        </w:rPr>
        <w:t>29/03/2023 № 833</w:t>
      </w:r>
    </w:p>
    <w:p w:rsidR="003168EA" w:rsidRPr="000A3F9D" w:rsidRDefault="003168EA" w:rsidP="003168EA">
      <w:pPr>
        <w:shd w:val="clear" w:color="auto" w:fill="FFFFFF"/>
        <w:jc w:val="right"/>
        <w:rPr>
          <w:sz w:val="24"/>
          <w:szCs w:val="24"/>
        </w:rPr>
      </w:pPr>
    </w:p>
    <w:p w:rsidR="003168EA" w:rsidRPr="000A3F9D" w:rsidRDefault="003168EA" w:rsidP="003168EA">
      <w:pPr>
        <w:shd w:val="clear" w:color="auto" w:fill="FFFFFF"/>
        <w:jc w:val="right"/>
        <w:rPr>
          <w:b/>
          <w:sz w:val="24"/>
          <w:szCs w:val="24"/>
        </w:rPr>
      </w:pPr>
      <w:r w:rsidRPr="000A3F9D">
        <w:rPr>
          <w:sz w:val="24"/>
          <w:szCs w:val="24"/>
        </w:rPr>
        <w:t>(Приложение)</w:t>
      </w:r>
    </w:p>
    <w:p w:rsidR="003168EA" w:rsidRDefault="003168EA" w:rsidP="003168E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168EA" w:rsidRPr="00ED56B9" w:rsidRDefault="003168EA" w:rsidP="003168EA">
      <w:pPr>
        <w:widowControl w:val="0"/>
        <w:autoSpaceDE w:val="0"/>
        <w:autoSpaceDN w:val="0"/>
        <w:adjustRightInd w:val="0"/>
        <w:rPr>
          <w:color w:val="000000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Pr="00ED56B9" w:rsidRDefault="003168EA" w:rsidP="003168EA">
      <w:pPr>
        <w:jc w:val="right"/>
        <w:rPr>
          <w:b/>
          <w:color w:val="000000"/>
          <w:szCs w:val="24"/>
        </w:rPr>
      </w:pPr>
    </w:p>
    <w:p w:rsidR="003168EA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rPr>
          <w:b/>
          <w:color w:val="000000"/>
          <w:szCs w:val="24"/>
        </w:rPr>
      </w:pP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МУНИЦИПАЛЬНАЯ ПРОГРАММА</w:t>
      </w: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6B9">
        <w:rPr>
          <w:b/>
          <w:color w:val="000000"/>
          <w:sz w:val="28"/>
          <w:szCs w:val="28"/>
        </w:rPr>
        <w:t>Сосновоборского городского округа</w:t>
      </w:r>
    </w:p>
    <w:p w:rsidR="003168EA" w:rsidRPr="00ED56B9" w:rsidRDefault="003168EA" w:rsidP="003168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68EA" w:rsidRPr="00ED56B9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информационного общества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>Сосновоборском</w:t>
      </w:r>
      <w:proofErr w:type="gramEnd"/>
      <w:r w:rsidRPr="00ED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на 2014-2025 годы»</w:t>
      </w: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2D5D80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8EA" w:rsidRPr="00ED56B9" w:rsidRDefault="003168EA" w:rsidP="003168EA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56B9">
        <w:rPr>
          <w:rFonts w:ascii="Times New Roman" w:hAnsi="Times New Roman"/>
          <w:b/>
          <w:color w:val="000000"/>
          <w:sz w:val="24"/>
          <w:szCs w:val="24"/>
        </w:rPr>
        <w:t>г. Сосновый Бор</w:t>
      </w:r>
    </w:p>
    <w:p w:rsidR="003168EA" w:rsidRPr="00ED56B9" w:rsidRDefault="003168EA" w:rsidP="003168EA">
      <w:pPr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</w:t>
      </w: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8EA" w:rsidRPr="00741480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Сосновоборского городского округа</w:t>
      </w:r>
    </w:p>
    <w:p w:rsidR="003168EA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«Развитие информационного общества в Сос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новоборском городском округе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3168EA" w:rsidRPr="00ED56B9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480">
        <w:rPr>
          <w:rFonts w:ascii="Times New Roman" w:hAnsi="Times New Roman" w:cs="Times New Roman"/>
          <w:b/>
          <w:color w:val="000000"/>
          <w:sz w:val="24"/>
          <w:szCs w:val="24"/>
        </w:rPr>
        <w:t>2014-2025 годы»</w:t>
      </w:r>
    </w:p>
    <w:p w:rsidR="003168EA" w:rsidRDefault="003168EA" w:rsidP="003168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3240"/>
        <w:gridCol w:w="3564"/>
      </w:tblGrid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2014-2025 годы» (далее – Программа)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и сроки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2014-2025 годы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позитивного имиджа города.</w:t>
            </w:r>
          </w:p>
          <w:p w:rsidR="003168EA" w:rsidRPr="00EB24D5" w:rsidRDefault="003168EA" w:rsidP="0017767A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Обеспечение долгосрочной сбалансированности и устойчивости бюджета Сосновоборского городского округа</w:t>
            </w:r>
          </w:p>
          <w:p w:rsidR="003168EA" w:rsidRPr="00EB24D5" w:rsidRDefault="003168EA" w:rsidP="0017767A">
            <w:pPr>
              <w:ind w:hanging="14"/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 Развитие кадрового потенциала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24D5">
              <w:rPr>
                <w:color w:val="000000"/>
                <w:sz w:val="24"/>
                <w:szCs w:val="24"/>
              </w:rPr>
              <w:t>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3168EA" w:rsidRPr="00EB24D5" w:rsidRDefault="003168EA" w:rsidP="0017767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мероприятий в сфере средств массовой информации и связей с общественностью</w:t>
            </w:r>
          </w:p>
          <w:p w:rsidR="003168EA" w:rsidRPr="00EB24D5" w:rsidRDefault="003168EA" w:rsidP="0017767A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3. Повышение качества управления муниципальными финансами.</w:t>
            </w:r>
          </w:p>
          <w:p w:rsidR="003168EA" w:rsidRPr="00EB24D5" w:rsidRDefault="003168EA" w:rsidP="0017767A">
            <w:pPr>
              <w:rPr>
                <w:color w:val="000000"/>
                <w:sz w:val="24"/>
                <w:szCs w:val="24"/>
              </w:rPr>
            </w:pPr>
            <w:r w:rsidRPr="00EB24D5">
              <w:rPr>
                <w:color w:val="000000"/>
                <w:sz w:val="24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3168EA" w:rsidRPr="00ED56B9" w:rsidTr="0017767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(конечные)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уровня взаимопонимания и взаимодействия власти и общества.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 2014-2022 годы)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проектов не предусмотрена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(период 2023-2025 годы)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344D8D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  <w:p w:rsidR="003168EA" w:rsidRPr="00344D8D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</w:t>
            </w:r>
            <w:r w:rsidRPr="0016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68EA" w:rsidRPr="00ED56B9" w:rsidTr="0017767A">
        <w:trPr>
          <w:trHeight w:val="92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60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225886,46430</w:t>
            </w: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числе: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11870,94661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13998,24660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12905,99180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15814,23303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19102,26670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544B5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465</w:t>
            </w:r>
            <w:r w:rsidRPr="00544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303</w:t>
            </w:r>
            <w:r w:rsidRPr="00544B50">
              <w:rPr>
                <w:sz w:val="24"/>
                <w:szCs w:val="24"/>
              </w:rPr>
              <w:t>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25411,17203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23330,93953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23150,61100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18491,12200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19476,45100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195C0C">
              <w:rPr>
                <w:sz w:val="24"/>
                <w:szCs w:val="24"/>
              </w:rPr>
              <w:t>19869,18100</w:t>
            </w:r>
          </w:p>
        </w:tc>
      </w:tr>
      <w:tr w:rsidR="003168EA" w:rsidRPr="00ED56B9" w:rsidTr="0017767A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195C0C" w:rsidRDefault="003168EA" w:rsidP="0017767A">
            <w:pPr>
              <w:jc w:val="center"/>
              <w:rPr>
                <w:sz w:val="24"/>
                <w:szCs w:val="24"/>
              </w:rPr>
            </w:pPr>
            <w:r w:rsidRPr="00605ECA">
              <w:rPr>
                <w:sz w:val="24"/>
                <w:szCs w:val="24"/>
              </w:rPr>
              <w:t>225886,46430</w:t>
            </w:r>
          </w:p>
        </w:tc>
      </w:tr>
      <w:tr w:rsidR="003168EA" w:rsidRPr="00ED56B9" w:rsidTr="0017767A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EB24D5" w:rsidRDefault="003168EA" w:rsidP="001776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3168EA" w:rsidRPr="00ED56B9" w:rsidRDefault="003168EA" w:rsidP="003168EA">
      <w:pPr>
        <w:spacing w:after="200" w:line="276" w:lineRule="auto"/>
        <w:rPr>
          <w:b/>
          <w:color w:val="000000"/>
          <w:szCs w:val="24"/>
        </w:rPr>
      </w:pPr>
      <w:r w:rsidRPr="00ED56B9">
        <w:rPr>
          <w:b/>
          <w:color w:val="000000"/>
          <w:szCs w:val="24"/>
        </w:rPr>
        <w:br w:type="page"/>
      </w:r>
    </w:p>
    <w:p w:rsidR="003168EA" w:rsidRPr="00ED56B9" w:rsidRDefault="003168EA" w:rsidP="003168EA">
      <w:pPr>
        <w:pStyle w:val="af9"/>
        <w:spacing w:before="0" w:after="60" w:line="240" w:lineRule="auto"/>
        <w:rPr>
          <w:color w:val="000000"/>
        </w:rPr>
      </w:pPr>
      <w:r w:rsidRPr="00ED56B9">
        <w:rPr>
          <w:color w:val="000000"/>
        </w:rPr>
        <w:lastRenderedPageBreak/>
        <w:t>Оглавление</w:t>
      </w:r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r w:rsidRPr="003C55F0">
        <w:rPr>
          <w:color w:val="000000"/>
        </w:rPr>
        <w:fldChar w:fldCharType="begin"/>
      </w:r>
      <w:r w:rsidR="003168EA" w:rsidRPr="00F87BBD">
        <w:rPr>
          <w:color w:val="000000"/>
        </w:rPr>
        <w:instrText xml:space="preserve"> TOC \o "1-3" \h \z \u </w:instrText>
      </w:r>
      <w:r w:rsidRPr="003C55F0">
        <w:rPr>
          <w:color w:val="000000"/>
        </w:rPr>
        <w:fldChar w:fldCharType="separate"/>
      </w:r>
      <w:hyperlink w:anchor="_Toc130458683" w:history="1">
        <w:r w:rsidR="003168EA" w:rsidRPr="00FF36BC">
          <w:rPr>
            <w:rStyle w:val="ae"/>
            <w:noProof/>
          </w:rPr>
          <w:t>1. Общая характеристика, основные проблемы и прогноз развития сферы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4" w:history="1">
        <w:r w:rsidR="003168EA" w:rsidRPr="00FF36BC">
          <w:rPr>
            <w:rStyle w:val="ae"/>
            <w:noProof/>
          </w:rPr>
          <w:t>2. Приоритеты и цели государственной политики в сфере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5" w:history="1">
        <w:r w:rsidR="003168EA" w:rsidRPr="00FF36BC">
          <w:rPr>
            <w:rStyle w:val="ae"/>
            <w:noProof/>
          </w:rPr>
          <w:t>3. Задачи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6" w:history="1">
        <w:r w:rsidR="003168EA" w:rsidRPr="00FF36BC">
          <w:rPr>
            <w:rStyle w:val="ae"/>
            <w:noProof/>
          </w:rPr>
          <w:t>4. Сроки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7" w:history="1">
        <w:r w:rsidR="003168EA" w:rsidRPr="00FF36BC">
          <w:rPr>
            <w:rStyle w:val="ae"/>
            <w:noProof/>
          </w:rPr>
          <w:t>5. Перечень подпрограмм муниципальной программы (период 2014-2022 годы)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8" w:history="1">
        <w:r w:rsidR="003168EA" w:rsidRPr="00FF36BC">
          <w:rPr>
            <w:rStyle w:val="ae"/>
            <w:noProof/>
          </w:rPr>
          <w:t>6. Проектная часть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89" w:history="1">
        <w:r w:rsidR="003168EA" w:rsidRPr="00FF36BC">
          <w:rPr>
            <w:rStyle w:val="ae"/>
            <w:noProof/>
          </w:rPr>
          <w:t>7. Процессная часть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0" w:history="1">
        <w:r w:rsidR="003168EA" w:rsidRPr="00FF36BC">
          <w:rPr>
            <w:rStyle w:val="ae"/>
            <w:noProof/>
          </w:rPr>
          <w:t>7.1. Комплекс процессных мероприятий «Электронный муниципалитет»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1" w:history="1">
        <w:r w:rsidR="003168EA" w:rsidRPr="00FF36BC">
          <w:rPr>
            <w:rStyle w:val="ae"/>
            <w:noProof/>
          </w:rPr>
          <w:t>7.2. Комплекс процессных мероприятий «Власть и общество»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2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30458692" w:history="1">
        <w:r w:rsidR="003168EA" w:rsidRPr="00FF36BC">
          <w:rPr>
            <w:rStyle w:val="ae"/>
            <w:noProof/>
          </w:rPr>
  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3" w:history="1">
        <w:r w:rsidR="003168EA" w:rsidRPr="00FF36BC">
          <w:rPr>
            <w:rStyle w:val="ae"/>
            <w:b/>
            <w:caps/>
            <w:noProof/>
          </w:rPr>
          <w:t>ПРИЛОЖЕНИЕ 1. Информация о взаимосвязи целей, задач, ожидаемых результатов, показателей и структурных элементов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4" w:history="1">
        <w:r w:rsidR="003168EA" w:rsidRPr="00FF36BC">
          <w:rPr>
            <w:rStyle w:val="ae"/>
            <w:b/>
            <w:caps/>
            <w:noProof/>
          </w:rPr>
          <w:t>ПРИЛОЖЕНИЕ 2. Сведения о показателях (индикаторах) муниципальной программы и их значениях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5" w:history="1">
        <w:r w:rsidR="003168EA" w:rsidRPr="00FF36BC">
          <w:rPr>
            <w:rStyle w:val="ae"/>
            <w:b/>
            <w:caps/>
            <w:noProof/>
          </w:rPr>
          <w:t>ПРИЛОЖЕНИЕ 3. План реализации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6" w:history="1">
        <w:r w:rsidR="003168EA" w:rsidRPr="00FF36BC">
          <w:rPr>
            <w:rStyle w:val="ae"/>
            <w:b/>
            <w:caps/>
            <w:noProof/>
          </w:rPr>
          <w:t>ПРИЛОЖЕНИЕ 4. Сведения о фактических расходах на реализацию муниципальной программы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168EA" w:rsidRPr="00B60385" w:rsidRDefault="003C55F0" w:rsidP="003168EA">
      <w:pPr>
        <w:pStyle w:val="18"/>
        <w:rPr>
          <w:rFonts w:ascii="Calibri" w:hAnsi="Calibri"/>
          <w:noProof/>
          <w:sz w:val="22"/>
          <w:szCs w:val="22"/>
        </w:rPr>
      </w:pPr>
      <w:hyperlink w:anchor="_Toc130458697" w:history="1">
        <w:r w:rsidR="003168EA" w:rsidRPr="00FF36BC">
          <w:rPr>
            <w:rStyle w:val="ae"/>
            <w:b/>
            <w:caps/>
            <w:noProof/>
          </w:rPr>
          <w:t>ПРИЛОЖЕНИЕ 5. Детальный план реализации муниципальной программы на 2023 год</w:t>
        </w:r>
        <w:r w:rsidR="003168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68EA">
          <w:rPr>
            <w:noProof/>
            <w:webHidden/>
          </w:rPr>
          <w:instrText xml:space="preserve"> PAGEREF _Toc130458697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8EA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168EA" w:rsidRDefault="003C55F0" w:rsidP="003168EA">
      <w:pPr>
        <w:pStyle w:val="18"/>
        <w:spacing w:after="60"/>
        <w:rPr>
          <w:b/>
          <w:bCs/>
          <w:color w:val="000000"/>
        </w:rPr>
      </w:pPr>
      <w:r w:rsidRPr="00F87BBD">
        <w:rPr>
          <w:b/>
          <w:bCs/>
          <w:color w:val="000000"/>
        </w:rPr>
        <w:fldChar w:fldCharType="end"/>
      </w:r>
    </w:p>
    <w:p w:rsidR="003168EA" w:rsidRDefault="003168EA" w:rsidP="003168EA">
      <w:pPr>
        <w:pStyle w:val="1"/>
        <w:sectPr w:rsidR="003168EA" w:rsidSect="000C2F55">
          <w:footerReference w:type="default" r:id="rId7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0458683"/>
      <w:r w:rsidRPr="0084346A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  <w:bookmarkEnd w:id="0"/>
    </w:p>
    <w:p w:rsidR="003168EA" w:rsidRPr="0084346A" w:rsidRDefault="003168EA" w:rsidP="003168EA">
      <w:pPr>
        <w:tabs>
          <w:tab w:val="left" w:pos="1134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84346A">
        <w:rPr>
          <w:color w:val="000000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а) обеспечение прав граждан на доступ к информации;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 xml:space="preserve">б) обеспечение </w:t>
      </w:r>
      <w:proofErr w:type="gramStart"/>
      <w:r w:rsidRPr="0084346A">
        <w:rPr>
          <w:rFonts w:eastAsia="Calibri"/>
          <w:sz w:val="24"/>
          <w:szCs w:val="24"/>
          <w:lang w:eastAsia="en-US"/>
        </w:rPr>
        <w:t>свободы выбора средств получения знаний</w:t>
      </w:r>
      <w:proofErr w:type="gramEnd"/>
      <w:r w:rsidRPr="0084346A">
        <w:rPr>
          <w:rFonts w:eastAsia="Calibri"/>
          <w:sz w:val="24"/>
          <w:szCs w:val="24"/>
          <w:lang w:eastAsia="en-US"/>
        </w:rPr>
        <w:t xml:space="preserve"> при работе с информацией;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4346A">
        <w:rPr>
          <w:rFonts w:eastAsia="Calibri"/>
          <w:sz w:val="24"/>
          <w:szCs w:val="24"/>
          <w:lang w:eastAsia="en-US"/>
        </w:rPr>
        <w:t>д</w:t>
      </w:r>
      <w:proofErr w:type="spellEnd"/>
      <w:r w:rsidRPr="0084346A">
        <w:rPr>
          <w:rFonts w:eastAsia="Calibri"/>
          <w:sz w:val="24"/>
          <w:szCs w:val="24"/>
          <w:lang w:eastAsia="en-US"/>
        </w:rPr>
        <w:t>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168EA" w:rsidRPr="0084346A" w:rsidRDefault="003168EA" w:rsidP="003168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346A">
        <w:rPr>
          <w:rFonts w:eastAsia="Calibr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Развитие информационного общества </w:t>
      </w:r>
      <w:proofErr w:type="gramStart"/>
      <w:r w:rsidRPr="0084346A">
        <w:rPr>
          <w:color w:val="000000"/>
          <w:sz w:val="24"/>
          <w:szCs w:val="24"/>
        </w:rPr>
        <w:t>в</w:t>
      </w:r>
      <w:proofErr w:type="gramEnd"/>
      <w:r w:rsidRPr="0084346A">
        <w:rPr>
          <w:color w:val="000000"/>
          <w:sz w:val="24"/>
          <w:szCs w:val="24"/>
        </w:rPr>
        <w:t xml:space="preserve"> </w:t>
      </w:r>
      <w:proofErr w:type="gramStart"/>
      <w:r w:rsidRPr="0084346A">
        <w:rPr>
          <w:color w:val="000000"/>
          <w:sz w:val="24"/>
          <w:szCs w:val="24"/>
        </w:rPr>
        <w:t>Сосновоборском</w:t>
      </w:r>
      <w:proofErr w:type="gramEnd"/>
      <w:r w:rsidRPr="0084346A">
        <w:rPr>
          <w:color w:val="000000"/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6A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27.07.2006 N 152-ФЗ "О персональных данных".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Сегодня в администрации Сосновоборского городского округа в</w:t>
      </w:r>
      <w:r w:rsidRPr="0084346A">
        <w:rPr>
          <w:rFonts w:eastAsia="Calibri"/>
          <w:color w:val="000000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84346A">
        <w:rPr>
          <w:color w:val="000000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proofErr w:type="gramStart"/>
      <w:r w:rsidRPr="0084346A">
        <w:rPr>
          <w:rFonts w:eastAsia="Calibri"/>
          <w:color w:val="000000"/>
          <w:sz w:val="24"/>
          <w:szCs w:val="24"/>
        </w:rPr>
        <w:t>Разработаны</w:t>
      </w:r>
      <w:proofErr w:type="gramEnd"/>
      <w:r w:rsidRPr="0084346A">
        <w:rPr>
          <w:rFonts w:eastAsia="Calibri"/>
          <w:color w:val="000000"/>
          <w:sz w:val="24"/>
          <w:szCs w:val="24"/>
        </w:rPr>
        <w:t xml:space="preserve">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</w:t>
      </w:r>
      <w:r w:rsidRPr="0084346A">
        <w:rPr>
          <w:color w:val="000000"/>
          <w:sz w:val="24"/>
          <w:szCs w:val="24"/>
        </w:rPr>
        <w:lastRenderedPageBreak/>
        <w:t>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</w:t>
      </w:r>
      <w:proofErr w:type="gramStart"/>
      <w:r w:rsidRPr="0084346A">
        <w:rPr>
          <w:color w:val="000000"/>
          <w:sz w:val="24"/>
          <w:szCs w:val="24"/>
        </w:rPr>
        <w:t>е-</w:t>
      </w:r>
      <w:proofErr w:type="gramEnd"/>
      <w:r w:rsidRPr="0084346A">
        <w:rPr>
          <w:color w:val="000000"/>
          <w:sz w:val="24"/>
          <w:szCs w:val="24"/>
        </w:rPr>
        <w:t xml:space="preserve">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«Развитие информационного общества в Ленинградской области». К ним относятся мероприятия по развитию функциональных элементов инфраструктуры электронного правительства, в том числе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необходимо: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достаточно длительный период времени;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достаточно большие финансовые и человеческие ресурсы.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концентрацию ресурсов, выделяемых из местного бюджета;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3168EA" w:rsidRPr="0084346A" w:rsidRDefault="003168EA" w:rsidP="003168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30458684"/>
      <w:r w:rsidRPr="0084346A">
        <w:rPr>
          <w:rFonts w:ascii="Times New Roman" w:hAnsi="Times New Roman" w:cs="Times New Roman"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  <w:bookmarkEnd w:id="1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Основными целями реализации Программы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Формирование позитивного имиджа города.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30458685"/>
      <w:r w:rsidRPr="0084346A">
        <w:rPr>
          <w:rFonts w:ascii="Times New Roman" w:hAnsi="Times New Roman" w:cs="Times New Roman"/>
          <w:sz w:val="24"/>
          <w:szCs w:val="24"/>
        </w:rPr>
        <w:t>3. Задачи муниципальной программы</w:t>
      </w:r>
      <w:bookmarkEnd w:id="2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Основными задачами, решаемыми в рамках реализации Программы,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Организация мероприятий в сфере средств массовой информации и связей с общественностью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Повышение качества управления муниципальными финансами.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30458686"/>
      <w:r w:rsidRPr="0084346A">
        <w:rPr>
          <w:rFonts w:ascii="Times New Roman" w:hAnsi="Times New Roman" w:cs="Times New Roman"/>
          <w:sz w:val="24"/>
          <w:szCs w:val="24"/>
        </w:rPr>
        <w:t>4. Сроки реализации муниципальной программы</w:t>
      </w:r>
      <w:bookmarkEnd w:id="3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Сроки реализации Программы: 2014-2025 годы. Программа реализуется в 1 этап.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30458687"/>
      <w:r w:rsidRPr="0084346A">
        <w:rPr>
          <w:rFonts w:ascii="Times New Roman" w:hAnsi="Times New Roman" w:cs="Times New Roman"/>
          <w:sz w:val="24"/>
          <w:szCs w:val="24"/>
        </w:rPr>
        <w:t>5. Перечень подпрограмм муниципальной программы (период 2014-2022 годы)</w:t>
      </w:r>
      <w:bookmarkEnd w:id="4"/>
    </w:p>
    <w:p w:rsidR="003168EA" w:rsidRPr="0084346A" w:rsidRDefault="003168EA" w:rsidP="003168EA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8EA" w:rsidRPr="0084346A" w:rsidRDefault="003168EA" w:rsidP="003168EA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4346A">
        <w:rPr>
          <w:rFonts w:ascii="Times New Roman" w:hAnsi="Times New Roman"/>
          <w:sz w:val="24"/>
          <w:szCs w:val="24"/>
        </w:rPr>
        <w:t>Муниципальная программа в период 2014-2022 годов включает в себя следующие подпрограммы: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1. «Электронный муниципалитет».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2. «Власть и общество».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3. «Управление муниципальными финансами».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4. 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С 2023 года действие подпрограмм прекращено. Программа реализуется в комплексах проектных и процессных мероприятий.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30458688"/>
      <w:r w:rsidRPr="0084346A">
        <w:rPr>
          <w:rFonts w:ascii="Times New Roman" w:hAnsi="Times New Roman" w:cs="Times New Roman"/>
          <w:sz w:val="24"/>
          <w:szCs w:val="24"/>
        </w:rPr>
        <w:t>6. Проектная часть</w:t>
      </w:r>
      <w:bookmarkEnd w:id="5"/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Реализация проектов не предусмотрена.</w:t>
      </w:r>
    </w:p>
    <w:p w:rsidR="003168EA" w:rsidRPr="0084346A" w:rsidRDefault="003168EA" w:rsidP="003168EA">
      <w:pPr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30458689"/>
      <w:r w:rsidRPr="0084346A">
        <w:rPr>
          <w:rFonts w:ascii="Times New Roman" w:hAnsi="Times New Roman" w:cs="Times New Roman"/>
          <w:sz w:val="24"/>
          <w:szCs w:val="24"/>
        </w:rPr>
        <w:t>7. Процессная часть</w:t>
      </w:r>
      <w:bookmarkEnd w:id="6"/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7" w:name="_Toc130458690"/>
      <w:r w:rsidRPr="0084346A">
        <w:rPr>
          <w:color w:val="000000"/>
          <w:szCs w:val="24"/>
        </w:rPr>
        <w:t>7.1. Комплекс процессных мероприятий «Электронный муниципалитет»</w:t>
      </w:r>
      <w:bookmarkEnd w:id="7"/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В настоящее время перед органами </w:t>
      </w:r>
      <w:r w:rsidRPr="0084346A">
        <w:rPr>
          <w:color w:val="000000"/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84346A">
        <w:rPr>
          <w:rFonts w:eastAsia="Calibri"/>
          <w:color w:val="000000"/>
          <w:sz w:val="24"/>
          <w:szCs w:val="24"/>
        </w:rPr>
        <w:t xml:space="preserve">задача </w:t>
      </w:r>
      <w:proofErr w:type="gramStart"/>
      <w:r w:rsidRPr="0084346A">
        <w:rPr>
          <w:rFonts w:eastAsia="Calibri"/>
          <w:color w:val="000000"/>
          <w:sz w:val="24"/>
          <w:szCs w:val="24"/>
        </w:rPr>
        <w:t>обеспечить</w:t>
      </w:r>
      <w:proofErr w:type="gramEnd"/>
      <w:r w:rsidRPr="0084346A">
        <w:rPr>
          <w:rFonts w:eastAsia="Calibri"/>
          <w:color w:val="000000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84346A">
        <w:rPr>
          <w:color w:val="000000"/>
          <w:sz w:val="24"/>
          <w:szCs w:val="24"/>
        </w:rPr>
        <w:t xml:space="preserve">муниципальных и </w:t>
      </w:r>
      <w:r w:rsidRPr="0084346A">
        <w:rPr>
          <w:rFonts w:eastAsia="Calibri"/>
          <w:color w:val="000000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lastRenderedPageBreak/>
        <w:t>Инфраструктура «электронного муниципалитета» включает в себя ряд основных функциональных элементов: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Сегодня в администрации Сосновоборского городского </w:t>
      </w:r>
      <w:r w:rsidRPr="0084346A">
        <w:rPr>
          <w:rFonts w:eastAsia="Calibri"/>
          <w:color w:val="000000"/>
          <w:sz w:val="24"/>
          <w:szCs w:val="24"/>
        </w:rPr>
        <w:t xml:space="preserve"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</w:t>
      </w:r>
      <w:proofErr w:type="gramStart"/>
      <w:r w:rsidRPr="0084346A">
        <w:rPr>
          <w:rFonts w:eastAsia="Calibri"/>
          <w:color w:val="000000"/>
          <w:sz w:val="24"/>
          <w:szCs w:val="24"/>
        </w:rPr>
        <w:t>Разработаны</w:t>
      </w:r>
      <w:proofErr w:type="gramEnd"/>
      <w:r w:rsidRPr="0084346A">
        <w:rPr>
          <w:rFonts w:eastAsia="Calibri"/>
          <w:color w:val="000000"/>
          <w:sz w:val="24"/>
          <w:szCs w:val="24"/>
        </w:rPr>
        <w:t xml:space="preserve">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 xml:space="preserve">В результате реализации </w:t>
      </w:r>
      <w:r w:rsidRPr="0084346A">
        <w:rPr>
          <w:color w:val="000000"/>
          <w:sz w:val="24"/>
          <w:szCs w:val="24"/>
        </w:rPr>
        <w:t xml:space="preserve">комплекса процессных мероприятий </w:t>
      </w:r>
      <w:r w:rsidRPr="0084346A">
        <w:rPr>
          <w:rFonts w:eastAsia="Calibri"/>
          <w:color w:val="000000"/>
          <w:sz w:val="24"/>
          <w:szCs w:val="24"/>
        </w:rPr>
        <w:t>будет обеспечено: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84346A">
        <w:rPr>
          <w:rFonts w:eastAsia="Calibri"/>
          <w:color w:val="000000"/>
          <w:sz w:val="24"/>
          <w:szCs w:val="24"/>
        </w:rPr>
        <w:t>- обеспечение внедрение элементов цифровой экономики в администрации Сосновоборского городского округа;</w:t>
      </w:r>
      <w:proofErr w:type="gramEnd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При этом применение программно-целевого метода позволит: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lastRenderedPageBreak/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84346A">
        <w:rPr>
          <w:rFonts w:eastAsia="Calibri"/>
          <w:color w:val="000000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Основными целями комплекса процессных мероприятий «Электронный муниципалитет» являются: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3168EA" w:rsidRPr="0084346A" w:rsidRDefault="003168EA" w:rsidP="003168EA">
      <w:pPr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  <w:r w:rsidRPr="0084346A">
        <w:rPr>
          <w:i/>
          <w:sz w:val="24"/>
          <w:szCs w:val="24"/>
        </w:rPr>
        <w:t>В рамках данного структурного элемента реализуются следующие основные мероприятия:</w:t>
      </w: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1. 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рамках реализации настоящего комплекса процессных мероприятий предполагается выполнение работ по развитию и обслуживанию следующих информационных систем: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справочная правовая система «</w:t>
      </w:r>
      <w:proofErr w:type="spellStart"/>
      <w:r w:rsidRPr="0084346A">
        <w:rPr>
          <w:color w:val="000000"/>
          <w:sz w:val="24"/>
          <w:szCs w:val="24"/>
        </w:rPr>
        <w:t>КонсультантПлюс</w:t>
      </w:r>
      <w:proofErr w:type="spellEnd"/>
      <w:r w:rsidRPr="0084346A">
        <w:rPr>
          <w:color w:val="000000"/>
          <w:sz w:val="24"/>
          <w:szCs w:val="24"/>
        </w:rPr>
        <w:t>»;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программный комплекс «Население»;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сметно-расчетный комплекс «</w:t>
      </w:r>
      <w:proofErr w:type="spellStart"/>
      <w:r w:rsidRPr="0084346A">
        <w:rPr>
          <w:color w:val="000000"/>
          <w:sz w:val="24"/>
          <w:szCs w:val="24"/>
        </w:rPr>
        <w:t>АРОС-Лидер</w:t>
      </w:r>
      <w:proofErr w:type="spellEnd"/>
      <w:r w:rsidRPr="0084346A">
        <w:rPr>
          <w:color w:val="000000"/>
          <w:sz w:val="24"/>
          <w:szCs w:val="24"/>
        </w:rPr>
        <w:t>».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84346A">
        <w:rPr>
          <w:color w:val="000000"/>
          <w:sz w:val="24"/>
          <w:szCs w:val="24"/>
        </w:rPr>
        <w:t>т.е. организации</w:t>
      </w:r>
      <w:proofErr w:type="gramEnd"/>
      <w:r w:rsidRPr="0084346A">
        <w:rPr>
          <w:color w:val="000000"/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 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lastRenderedPageBreak/>
        <w:t>- 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рамках данного комплекса процессных мероприятий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Также предусмотрено развитие системы защиты персональных данных и</w:t>
      </w:r>
      <w:r w:rsidRPr="0084346A">
        <w:rPr>
          <w:sz w:val="24"/>
          <w:szCs w:val="24"/>
        </w:rPr>
        <w:t> </w:t>
      </w:r>
      <w:r w:rsidRPr="0084346A">
        <w:rPr>
          <w:color w:val="000000"/>
          <w:sz w:val="24"/>
          <w:szCs w:val="24"/>
        </w:rPr>
        <w:t>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2. Мероприятия по развитию технологической инфраструктуры электронного муниципалитета.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i/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84346A">
        <w:rPr>
          <w:color w:val="000000"/>
          <w:sz w:val="24"/>
          <w:szCs w:val="24"/>
        </w:rPr>
        <w:t>теплоотведению</w:t>
      </w:r>
      <w:proofErr w:type="spellEnd"/>
      <w:r w:rsidRPr="0084346A">
        <w:rPr>
          <w:color w:val="000000"/>
          <w:sz w:val="24"/>
          <w:szCs w:val="24"/>
        </w:rPr>
        <w:t>, вентиляции, а также общей площади установки такого оборудования.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4346A">
        <w:rPr>
          <w:color w:val="000000"/>
          <w:sz w:val="24"/>
          <w:szCs w:val="24"/>
        </w:rPr>
        <w:lastRenderedPageBreak/>
        <w:t>3. 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3168EA" w:rsidRPr="0084346A" w:rsidRDefault="003168EA" w:rsidP="003168E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8" w:name="_Toc130458691"/>
      <w:r w:rsidRPr="0084346A">
        <w:rPr>
          <w:color w:val="000000"/>
          <w:szCs w:val="24"/>
        </w:rPr>
        <w:t>7.2. Комплекс процессных мероприятий «Власть и общество»</w:t>
      </w:r>
      <w:bookmarkEnd w:id="8"/>
    </w:p>
    <w:p w:rsidR="003168EA" w:rsidRPr="0084346A" w:rsidRDefault="003168EA" w:rsidP="003168EA">
      <w:pPr>
        <w:rPr>
          <w:sz w:val="24"/>
          <w:szCs w:val="24"/>
        </w:rPr>
      </w:pP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Комплекс процессных мероприятий «Власть и общество» предусматривает мероприятия, направленные: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формирование благоприятной информационной среды в целях развития институтов гражданского общества;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- формирование позитивного имиджа города.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4346A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</w:t>
      </w:r>
      <w:proofErr w:type="gramEnd"/>
      <w:r w:rsidRPr="0084346A">
        <w:rPr>
          <w:sz w:val="24"/>
          <w:szCs w:val="24"/>
        </w:rPr>
        <w:t xml:space="preserve"> Наблюдается тенденция к стабилизации уровня удовлетворенности населения деятельностью органов местной власти.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r w:rsidRPr="0084346A">
        <w:rPr>
          <w:rFonts w:eastAsia="BatangChe"/>
          <w:color w:val="000000"/>
          <w:sz w:val="24"/>
          <w:szCs w:val="24"/>
        </w:rPr>
        <w:t>http://www.sbor.ru</w:t>
      </w:r>
      <w:r w:rsidRPr="0084346A">
        <w:rPr>
          <w:rFonts w:eastAsia="BatangChe"/>
          <w:sz w:val="24"/>
          <w:szCs w:val="24"/>
        </w:rPr>
        <w:t xml:space="preserve">. </w:t>
      </w:r>
      <w:r w:rsidRPr="0084346A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комплекса процессных мероприятий «Власть и общество» на 2014-2025 годы планируется продолжить работы по модернизации официального сайта.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</w:t>
      </w:r>
      <w:proofErr w:type="spellStart"/>
      <w:r w:rsidRPr="0084346A">
        <w:rPr>
          <w:sz w:val="24"/>
          <w:szCs w:val="24"/>
        </w:rPr>
        <w:t>ВКонтакте</w:t>
      </w:r>
      <w:proofErr w:type="spellEnd"/>
      <w:r w:rsidRPr="0084346A">
        <w:rPr>
          <w:sz w:val="24"/>
          <w:szCs w:val="24"/>
        </w:rPr>
        <w:t xml:space="preserve">» https://vk.com/meriasosnovybor, страница в социальной сети «Одноклассники» https://ok.ru/group/61326873395410, </w:t>
      </w:r>
      <w:proofErr w:type="spellStart"/>
      <w:r w:rsidRPr="0084346A">
        <w:rPr>
          <w:sz w:val="24"/>
          <w:szCs w:val="24"/>
        </w:rPr>
        <w:t>Телеграм-канал</w:t>
      </w:r>
      <w:proofErr w:type="spellEnd"/>
      <w:r w:rsidRPr="0084346A">
        <w:rPr>
          <w:sz w:val="24"/>
          <w:szCs w:val="24"/>
        </w:rPr>
        <w:t xml:space="preserve"> https://t.me/meriasbor. Комплекс процессных мероприятий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3168EA" w:rsidRPr="0084346A" w:rsidRDefault="003168EA" w:rsidP="003168EA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lastRenderedPageBreak/>
        <w:t xml:space="preserve">Официальные сообщения и документы органов местного самоуправления Сосновоборского городского округа </w:t>
      </w:r>
      <w:proofErr w:type="gramStart"/>
      <w:r w:rsidRPr="0084346A">
        <w:rPr>
          <w:sz w:val="24"/>
          <w:szCs w:val="24"/>
        </w:rPr>
        <w:t>обнародуются и публикуются</w:t>
      </w:r>
      <w:proofErr w:type="gramEnd"/>
      <w:r w:rsidRPr="0084346A">
        <w:rPr>
          <w:sz w:val="24"/>
          <w:szCs w:val="24"/>
        </w:rPr>
        <w:t xml:space="preserve"> в городской газете «Маяк». Администрация муниципального образования Сосновоборский городской округ является 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Предусмотрен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«Власть и общество»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комплекса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 xml:space="preserve"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</w:t>
      </w:r>
      <w:proofErr w:type="gramStart"/>
      <w:r w:rsidRPr="0084346A">
        <w:rPr>
          <w:sz w:val="24"/>
          <w:szCs w:val="24"/>
        </w:rPr>
        <w:t>о</w:t>
      </w:r>
      <w:proofErr w:type="gramEnd"/>
      <w:r w:rsidRPr="0084346A">
        <w:rPr>
          <w:sz w:val="24"/>
          <w:szCs w:val="24"/>
        </w:rPr>
        <w:t xml:space="preserve"> </w:t>
      </w:r>
      <w:proofErr w:type="gramStart"/>
      <w:r w:rsidRPr="0084346A">
        <w:rPr>
          <w:sz w:val="24"/>
          <w:szCs w:val="24"/>
        </w:rPr>
        <w:t>Сосновоборском</w:t>
      </w:r>
      <w:proofErr w:type="gramEnd"/>
      <w:r w:rsidRPr="0084346A">
        <w:rPr>
          <w:sz w:val="24"/>
          <w:szCs w:val="24"/>
        </w:rPr>
        <w:t xml:space="preserve"> городском округе в федеральных и региональных СМИ, издание полиграфической продукции.</w:t>
      </w:r>
    </w:p>
    <w:p w:rsidR="003168EA" w:rsidRPr="0084346A" w:rsidRDefault="003168EA" w:rsidP="003168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Мероприятия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>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Основными целями комплекса процессных мероприятий «Власть и общество» являются: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3168EA" w:rsidRPr="0084346A" w:rsidRDefault="003168EA" w:rsidP="003168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 Формирование позитивного имиджа города.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3168EA" w:rsidRPr="0084346A" w:rsidRDefault="003168EA" w:rsidP="003168EA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3168EA" w:rsidRPr="0084346A" w:rsidRDefault="003168EA" w:rsidP="003168EA">
      <w:pPr>
        <w:ind w:firstLine="709"/>
        <w:jc w:val="both"/>
        <w:rPr>
          <w:i/>
          <w:sz w:val="24"/>
          <w:szCs w:val="24"/>
        </w:rPr>
      </w:pPr>
      <w:r w:rsidRPr="0084346A">
        <w:rPr>
          <w:i/>
          <w:sz w:val="24"/>
          <w:szCs w:val="24"/>
        </w:rPr>
        <w:t>В рамках данного структурного элемента реализуются следующие мероприятия: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1. Мероприятия по организации освещения в печатных и электронных СМИ, в сети Интернет деятельности органов местного самоуправления.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Создание и размещение в городских СМИ материалов, освещающих актуальные вопросы и события политической, общественной, экономической, культурной, спортивной жизни Сосновоборского городского округа, вопросы межнационального и межконфессионального взаимодействия, иные социально и общественно значимых вопросы и события.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2. Мероприятия по организации публикаций в федеральных, региональных, областных печатных и электронных СМИ.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46A">
        <w:rPr>
          <w:rFonts w:ascii="Times New Roman" w:hAnsi="Times New Roman" w:cs="Times New Roman"/>
          <w:sz w:val="24"/>
          <w:szCs w:val="24"/>
        </w:rPr>
        <w:t xml:space="preserve">Предполагают публикацию интервью, статей, очерков, обзоров, иных информационно-аналитических материалов по вопросам политической, общественной, </w:t>
      </w:r>
      <w:r w:rsidRPr="0084346A">
        <w:rPr>
          <w:rFonts w:ascii="Times New Roman" w:hAnsi="Times New Roman" w:cs="Times New Roman"/>
          <w:sz w:val="24"/>
          <w:szCs w:val="24"/>
        </w:rPr>
        <w:lastRenderedPageBreak/>
        <w:t>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Мероприятия по организации выпуска и распространения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 xml:space="preserve"> полиграфической продукции.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Предусматривают издание календарей, буклетов, открыток, буклетов, информационных сборников и изданий, брошюр, а также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Информационные материалы социальной направленности размещаются на городских рекламных щитах.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4. Мероприятия по расширению информационного пространства и каналов коммуникации органов местного самоуправления. 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Осуществляются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</w:t>
      </w:r>
      <w:proofErr w:type="spellStart"/>
      <w:r w:rsidRPr="0084346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4346A">
        <w:rPr>
          <w:rFonts w:ascii="Times New Roman" w:hAnsi="Times New Roman" w:cs="Times New Roman"/>
          <w:sz w:val="24"/>
          <w:szCs w:val="24"/>
        </w:rPr>
        <w:t xml:space="preserve"> социальных сетей. Помимо этого обеспечивается функционирование (поддержка и модернизация) официального сайта Сосновоборского городского округа, организуются социологические опросы, в том числе направленные на изучение состояния межнациональных отношений и предупреждение конфликтных ситуаций в сфере межнациональных и межконфессиональных отношений. В ходе опросов проводится сбор и анализ данных, которые позволят учитывать общественное мнение при принятии управленческих решений. Для повышения </w:t>
      </w:r>
      <w:proofErr w:type="gramStart"/>
      <w:r w:rsidRPr="0084346A">
        <w:rPr>
          <w:rFonts w:ascii="Times New Roman" w:hAnsi="Times New Roman" w:cs="Times New Roman"/>
          <w:sz w:val="24"/>
          <w:szCs w:val="24"/>
        </w:rPr>
        <w:t>уровня профессиональных компетенций сотрудников городских средств массовой информации</w:t>
      </w:r>
      <w:proofErr w:type="gramEnd"/>
      <w:r w:rsidRPr="0084346A">
        <w:rPr>
          <w:rFonts w:ascii="Times New Roman" w:hAnsi="Times New Roman" w:cs="Times New Roman"/>
          <w:sz w:val="24"/>
          <w:szCs w:val="24"/>
        </w:rPr>
        <w:t xml:space="preserve"> организуются семинары, «круглые столы» по обмену опытом для журналистов, обсуждению актуальных вопросов в сфере средств массовой информации и связей с общественностью.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5. 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sz w:val="24"/>
          <w:szCs w:val="24"/>
        </w:rPr>
        <w:t>Реализуются в соответствии с 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3168EA" w:rsidRPr="0084346A" w:rsidRDefault="003168EA" w:rsidP="003168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6. Мероприятия по обеспечению деятельности подведомственного учреждения в сфере радиовещания осуществляются 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2"/>
        <w:rPr>
          <w:color w:val="000000"/>
          <w:szCs w:val="24"/>
        </w:rPr>
      </w:pPr>
      <w:bookmarkStart w:id="9" w:name="_Toc130458692"/>
      <w:r w:rsidRPr="0084346A">
        <w:rPr>
          <w:color w:val="000000"/>
          <w:szCs w:val="24"/>
        </w:rPr>
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  <w:bookmarkEnd w:id="9"/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Комплекс процессных мероприятий разработан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</w:t>
      </w:r>
      <w:r w:rsidRPr="0084346A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по мере необходимости. Муниципальные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 xml:space="preserve">Основной целью данного комплекса процессных мероприятий является </w:t>
      </w:r>
      <w:r w:rsidRPr="0084346A">
        <w:rPr>
          <w:sz w:val="24"/>
          <w:szCs w:val="24"/>
        </w:rPr>
        <w:t>развитие кадрового потенциала органов местного самоуправления Сосновоборского городского округа.</w:t>
      </w:r>
    </w:p>
    <w:p w:rsidR="003168EA" w:rsidRPr="0084346A" w:rsidRDefault="003168EA" w:rsidP="003168E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84346A">
        <w:rPr>
          <w:i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sz w:val="24"/>
          <w:szCs w:val="24"/>
        </w:rPr>
        <w:t>3. Создание условий для подготовки высококвалифицированных кадров.</w:t>
      </w:r>
    </w:p>
    <w:p w:rsidR="003168EA" w:rsidRPr="0084346A" w:rsidRDefault="003168EA" w:rsidP="003168E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6A">
        <w:rPr>
          <w:rFonts w:ascii="Times New Roman" w:hAnsi="Times New Roman" w:cs="Times New Roman"/>
          <w:i/>
          <w:sz w:val="24"/>
          <w:szCs w:val="24"/>
        </w:rPr>
        <w:t xml:space="preserve">В рамках данного структурного элемента реализуются мероприятия </w:t>
      </w:r>
      <w:r w:rsidRPr="0084346A">
        <w:rPr>
          <w:rFonts w:ascii="Times New Roman" w:hAnsi="Times New Roman" w:cs="Times New Roman"/>
          <w:sz w:val="24"/>
          <w:szCs w:val="24"/>
        </w:rPr>
        <w:t>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округа.</w:t>
      </w:r>
    </w:p>
    <w:p w:rsidR="003168EA" w:rsidRPr="00ED56B9" w:rsidRDefault="003168EA" w:rsidP="003168EA">
      <w:pPr>
        <w:spacing w:line="276" w:lineRule="auto"/>
        <w:rPr>
          <w:b/>
          <w:color w:val="000000"/>
          <w:szCs w:val="24"/>
        </w:rPr>
      </w:pPr>
    </w:p>
    <w:p w:rsidR="003168EA" w:rsidRDefault="003168EA" w:rsidP="003168EA">
      <w:pPr>
        <w:shd w:val="clear" w:color="auto" w:fill="FFFFFF"/>
        <w:rPr>
          <w:b/>
          <w:color w:val="000000"/>
          <w:szCs w:val="24"/>
        </w:rPr>
        <w:sectPr w:rsidR="003168EA" w:rsidSect="00FC7EC5">
          <w:pgSz w:w="11906" w:h="16838"/>
          <w:pgMar w:top="1134" w:right="567" w:bottom="1134" w:left="1701" w:header="720" w:footer="720" w:gutter="0"/>
          <w:cols w:space="720"/>
        </w:sectPr>
      </w:pPr>
    </w:p>
    <w:p w:rsidR="003168EA" w:rsidRPr="00BA7EE9" w:rsidRDefault="003168EA" w:rsidP="003168EA">
      <w:pPr>
        <w:spacing w:after="200" w:line="276" w:lineRule="auto"/>
        <w:jc w:val="right"/>
        <w:rPr>
          <w:sz w:val="24"/>
          <w:szCs w:val="24"/>
        </w:rPr>
      </w:pPr>
      <w:r w:rsidRPr="00BA7E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168EA" w:rsidRPr="00BA7EE9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BA7EE9" w:rsidRDefault="003168EA" w:rsidP="003168E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168EA" w:rsidRPr="00CA0D35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0" w:name="_Toc130458693"/>
      <w:r w:rsidRPr="00CA0D35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1</w:t>
      </w:r>
      <w:r w:rsidRPr="00CA0D35">
        <w:rPr>
          <w:rFonts w:ascii="Times New Roman" w:hAnsi="Times New Roman" w:cs="Times New Roman"/>
          <w:b/>
          <w:caps/>
          <w:sz w:val="24"/>
        </w:rPr>
        <w:t xml:space="preserve">. </w:t>
      </w:r>
      <w:r w:rsidRPr="00081960">
        <w:rPr>
          <w:rFonts w:ascii="Times New Roman" w:hAnsi="Times New Roman" w:cs="Times New Roman"/>
          <w:b/>
          <w:caps/>
          <w:sz w:val="24"/>
        </w:rPr>
        <w:t>Информация о взаимосвязи целей, задач, ожидаемых результатов, показателей и структурных элементов</w:t>
      </w:r>
      <w:r w:rsidRPr="00CA0D35">
        <w:rPr>
          <w:rFonts w:ascii="Times New Roman" w:hAnsi="Times New Roman" w:cs="Times New Roman"/>
          <w:b/>
          <w:caps/>
          <w:sz w:val="24"/>
        </w:rPr>
        <w:t xml:space="preserve"> муниципальной программы</w:t>
      </w:r>
      <w:bookmarkEnd w:id="10"/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2835"/>
        <w:gridCol w:w="2977"/>
        <w:gridCol w:w="2977"/>
        <w:gridCol w:w="2977"/>
      </w:tblGrid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Целевой показатель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68EA" w:rsidRPr="00007003" w:rsidTr="0017767A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3168EA" w:rsidRPr="00BA7EE9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Процент модернизируемых автоматизированных рабочих мест</w:t>
            </w:r>
          </w:p>
        </w:tc>
      </w:tr>
      <w:tr w:rsidR="003168EA" w:rsidRPr="00007003" w:rsidTr="0017767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D0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3168EA" w:rsidRPr="00007003" w:rsidTr="0017767A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профессионального образования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переподготовка и повышение квалификации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муниципальных служащих, обязанных в соответствии с законодательством пройти  </w:t>
            </w: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 (или) курсы повышения  квалификации</w:t>
            </w:r>
          </w:p>
        </w:tc>
      </w:tr>
      <w:tr w:rsidR="003168EA" w:rsidRPr="00007003" w:rsidTr="0017767A">
        <w:trPr>
          <w:trHeight w:val="2629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п</w:t>
            </w:r>
            <w:r w:rsidRPr="00BA7EE9">
              <w:rPr>
                <w:iCs/>
                <w:color w:val="000000"/>
                <w:sz w:val="24"/>
                <w:szCs w:val="24"/>
              </w:rPr>
              <w:t>риобретени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и обслуживани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proofErr w:type="gramStart"/>
            <w:r w:rsidRPr="00BA7EE9">
              <w:rPr>
                <w:color w:val="000000"/>
                <w:sz w:val="24"/>
                <w:szCs w:val="24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</w:tr>
      <w:tr w:rsidR="003168EA" w:rsidRPr="00007003" w:rsidTr="0017767A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с</w:t>
            </w:r>
            <w:r w:rsidRPr="00BA7EE9">
              <w:rPr>
                <w:iCs/>
                <w:color w:val="000000"/>
                <w:sz w:val="24"/>
                <w:szCs w:val="24"/>
              </w:rPr>
              <w:t>оздани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</w:t>
            </w:r>
            <w:r w:rsidRPr="00BA7EE9">
              <w:rPr>
                <w:iCs/>
                <w:color w:val="000000"/>
                <w:sz w:val="24"/>
                <w:szCs w:val="24"/>
              </w:rPr>
              <w:lastRenderedPageBreak/>
              <w:t>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color w:val="000000"/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Приобретение новой 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р</w:t>
            </w:r>
            <w:r w:rsidRPr="00BA7EE9">
              <w:rPr>
                <w:iCs/>
                <w:color w:val="000000"/>
                <w:sz w:val="24"/>
                <w:szCs w:val="24"/>
              </w:rPr>
              <w:t>азвити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 xml:space="preserve">Мероприятия по </w:t>
            </w:r>
            <w:r w:rsidRPr="00A80C1D">
              <w:rPr>
                <w:iCs/>
                <w:sz w:val="24"/>
                <w:szCs w:val="24"/>
              </w:rPr>
              <w:lastRenderedPageBreak/>
              <w:t xml:space="preserve">организации выпуска и распространению </w:t>
            </w:r>
            <w:proofErr w:type="spellStart"/>
            <w:r w:rsidRPr="00A80C1D">
              <w:rPr>
                <w:iCs/>
                <w:sz w:val="24"/>
                <w:szCs w:val="24"/>
              </w:rPr>
              <w:t>имиджевой</w:t>
            </w:r>
            <w:proofErr w:type="spellEnd"/>
            <w:r w:rsidRPr="00A80C1D">
              <w:rPr>
                <w:iCs/>
                <w:sz w:val="24"/>
                <w:szCs w:val="24"/>
              </w:rPr>
              <w:t xml:space="preserve"> полиграфической продукции.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32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A80C1D">
              <w:rPr>
                <w:iCs/>
                <w:sz w:val="24"/>
                <w:szCs w:val="24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2634C8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о</w:t>
            </w:r>
            <w:r w:rsidRPr="00BA7EE9">
              <w:rPr>
                <w:iCs/>
                <w:color w:val="000000"/>
                <w:sz w:val="24"/>
                <w:szCs w:val="24"/>
              </w:rPr>
              <w:t>беспечени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 w:rsidRPr="00BA7EE9">
              <w:rPr>
                <w:iCs/>
                <w:color w:val="000000"/>
                <w:sz w:val="24"/>
                <w:szCs w:val="24"/>
              </w:rPr>
              <w:t xml:space="preserve"> деятельности подведомственного учреждения в сфере радиовещания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EA" w:rsidRPr="00BA7EE9" w:rsidRDefault="003168EA" w:rsidP="0017767A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ориентированных на качественное исполнение </w:t>
            </w:r>
            <w:r w:rsidRPr="00BA7EE9">
              <w:rPr>
                <w:color w:val="000000"/>
                <w:sz w:val="24"/>
                <w:szCs w:val="24"/>
              </w:rPr>
              <w:lastRenderedPageBreak/>
              <w:t>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Мероприятия по о</w:t>
            </w:r>
            <w:r w:rsidRPr="00BA7EE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BA7EE9">
              <w:rPr>
                <w:sz w:val="24"/>
                <w:szCs w:val="24"/>
              </w:rPr>
              <w:t xml:space="preserve"> профессиональной переподготовки и курсов повышения квалификации муниципальных служащих администрации </w:t>
            </w:r>
            <w:r w:rsidRPr="00BA7EE9"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lastRenderedPageBreak/>
              <w:t>Обеспечение д</w:t>
            </w:r>
            <w:r>
              <w:rPr>
                <w:sz w:val="24"/>
                <w:szCs w:val="24"/>
              </w:rPr>
              <w:t>олжностного роста муниципальных</w:t>
            </w:r>
            <w:r w:rsidRPr="00BA7EE9">
              <w:rPr>
                <w:sz w:val="24"/>
                <w:szCs w:val="24"/>
              </w:rPr>
              <w:t xml:space="preserve"> служащих на основе их профессионализма и деловых профессиональных </w:t>
            </w:r>
            <w:r w:rsidRPr="00BA7EE9">
              <w:rPr>
                <w:sz w:val="24"/>
                <w:szCs w:val="24"/>
              </w:rPr>
              <w:lastRenderedPageBreak/>
              <w:t>качеств, формирование кадрового резерва</w:t>
            </w: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rPr>
                <w:sz w:val="24"/>
                <w:szCs w:val="24"/>
              </w:rPr>
            </w:pPr>
            <w:r w:rsidRPr="00BA7EE9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A7EE9" w:rsidRDefault="003168EA" w:rsidP="001776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168EA" w:rsidRDefault="003168EA" w:rsidP="003168EA">
      <w:pPr>
        <w:spacing w:after="200" w:line="276" w:lineRule="auto"/>
        <w:ind w:left="-142"/>
        <w:rPr>
          <w:sz w:val="24"/>
          <w:szCs w:val="24"/>
        </w:rPr>
      </w:pPr>
    </w:p>
    <w:p w:rsidR="003168EA" w:rsidRDefault="003168EA" w:rsidP="003168EA">
      <w:pPr>
        <w:spacing w:after="200" w:line="276" w:lineRule="auto"/>
        <w:jc w:val="right"/>
        <w:rPr>
          <w:sz w:val="24"/>
          <w:szCs w:val="24"/>
        </w:rPr>
      </w:pPr>
    </w:p>
    <w:p w:rsidR="003168EA" w:rsidRPr="00BA7EE9" w:rsidRDefault="003168EA" w:rsidP="003168EA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7E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168EA" w:rsidRPr="00BA7EE9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EE9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BA7EE9" w:rsidRDefault="003168EA" w:rsidP="003168EA">
      <w:pPr>
        <w:jc w:val="right"/>
        <w:rPr>
          <w:b/>
          <w:sz w:val="24"/>
          <w:szCs w:val="24"/>
        </w:rPr>
      </w:pPr>
      <w:r w:rsidRPr="00BA7EE9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BA7EE9">
        <w:rPr>
          <w:sz w:val="24"/>
          <w:szCs w:val="24"/>
        </w:rPr>
        <w:t>в</w:t>
      </w:r>
      <w:proofErr w:type="gramEnd"/>
      <w:r w:rsidRPr="00BA7EE9">
        <w:rPr>
          <w:sz w:val="24"/>
          <w:szCs w:val="24"/>
        </w:rPr>
        <w:t xml:space="preserve"> </w:t>
      </w:r>
      <w:proofErr w:type="gramStart"/>
      <w:r w:rsidRPr="00BA7EE9">
        <w:rPr>
          <w:sz w:val="24"/>
          <w:szCs w:val="24"/>
        </w:rPr>
        <w:t>Сосновоборском</w:t>
      </w:r>
      <w:proofErr w:type="gramEnd"/>
      <w:r w:rsidRPr="00BA7EE9">
        <w:rPr>
          <w:sz w:val="24"/>
          <w:szCs w:val="24"/>
        </w:rPr>
        <w:t xml:space="preserve"> городском округе на 2014-2025 годы»</w:t>
      </w:r>
    </w:p>
    <w:p w:rsidR="003168EA" w:rsidRPr="00CA0D35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1" w:name="_Toc130458694"/>
      <w:r w:rsidRPr="00CA0D35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2</w:t>
      </w:r>
      <w:r w:rsidRPr="00CA0D35">
        <w:rPr>
          <w:rFonts w:ascii="Times New Roman" w:hAnsi="Times New Roman" w:cs="Times New Roman"/>
          <w:b/>
          <w:caps/>
          <w:sz w:val="24"/>
        </w:rPr>
        <w:t>. Сведения о показателях (индикаторах) муниципальной программы и их значениях</w:t>
      </w:r>
      <w:bookmarkEnd w:id="11"/>
    </w:p>
    <w:p w:rsidR="003168EA" w:rsidRPr="00CA0D35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6247"/>
        <w:gridCol w:w="2268"/>
        <w:gridCol w:w="1701"/>
        <w:gridCol w:w="992"/>
        <w:gridCol w:w="992"/>
        <w:gridCol w:w="992"/>
        <w:gridCol w:w="993"/>
      </w:tblGrid>
      <w:tr w:rsidR="003168EA" w:rsidRPr="00CA0D35" w:rsidTr="0017767A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86FED">
              <w:rPr>
                <w:sz w:val="24"/>
                <w:szCs w:val="24"/>
              </w:rPr>
              <w:t>Показатель (индикатор)</w:t>
            </w:r>
          </w:p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168EA" w:rsidRPr="00C86FED" w:rsidTr="0017767A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proofErr w:type="spellStart"/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86FED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Процент модернизируемых автоматизированных рабочих мест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</w:rPr>
              <w:t>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«Электронный муниципалитет»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0D35">
              <w:rPr>
                <w:rFonts w:ascii="Times New Roman" w:hAnsi="Times New Roman" w:cs="Times New Roman"/>
                <w:color w:val="00000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23312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rHeight w:val="49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8EA" w:rsidRPr="00CA0D35" w:rsidTr="0017767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CA0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«Власть и общество»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CA0D35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CA0D35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A0D35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CA0D35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168EA" w:rsidRPr="00ED56B9" w:rsidTr="0017767A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2E9">
              <w:rPr>
                <w:rFonts w:ascii="Times New Roman" w:hAnsi="Times New Roman" w:cs="Times New Roman"/>
                <w:color w:val="000000"/>
              </w:rPr>
              <w:t>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E9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3168EA" w:rsidRPr="00ED56B9" w:rsidTr="0017767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007003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5762E9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762E9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8EA" w:rsidRPr="00ED56B9" w:rsidRDefault="003168EA" w:rsidP="003168EA">
      <w:pPr>
        <w:spacing w:after="200" w:line="276" w:lineRule="auto"/>
        <w:rPr>
          <w:b/>
          <w:bCs/>
          <w:color w:val="000000"/>
          <w:szCs w:val="24"/>
        </w:rPr>
      </w:pPr>
    </w:p>
    <w:p w:rsidR="003168EA" w:rsidRPr="00363CDC" w:rsidRDefault="003168EA" w:rsidP="003168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363CDC" w:rsidRDefault="003168EA" w:rsidP="003168E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szCs w:val="24"/>
        </w:rPr>
      </w:pPr>
      <w:bookmarkStart w:id="12" w:name="_Toc130458695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3</w:t>
      </w:r>
      <w:r w:rsidRPr="004F27AB">
        <w:rPr>
          <w:rFonts w:ascii="Times New Roman" w:hAnsi="Times New Roman" w:cs="Times New Roman"/>
          <w:b/>
          <w:caps/>
          <w:sz w:val="24"/>
        </w:rPr>
        <w:t>. План реализации муниципальной программы</w:t>
      </w:r>
      <w:bookmarkEnd w:id="12"/>
    </w:p>
    <w:p w:rsidR="003168EA" w:rsidRPr="00363CDC" w:rsidRDefault="003168EA" w:rsidP="003168E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2529"/>
        <w:gridCol w:w="1410"/>
        <w:gridCol w:w="1504"/>
        <w:gridCol w:w="1523"/>
        <w:gridCol w:w="1699"/>
        <w:gridCol w:w="1505"/>
        <w:gridCol w:w="1207"/>
      </w:tblGrid>
      <w:tr w:rsidR="003168EA" w:rsidRPr="00007003" w:rsidTr="0017767A"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168EA" w:rsidRPr="00007003" w:rsidTr="0017767A">
        <w:trPr>
          <w:trHeight w:val="10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168EA" w:rsidRPr="00007003" w:rsidTr="0017767A">
        <w:trPr>
          <w:trHeight w:val="2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15365,41650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D2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20215,30300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23150,61100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9070CF">
              <w:rPr>
                <w:sz w:val="24"/>
                <w:szCs w:val="24"/>
              </w:rPr>
              <w:t>22360,68600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18491,12200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18491,12200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19476,45100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19476,45100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7054F6" w:rsidRDefault="003168EA" w:rsidP="0017767A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CB36F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19869,18100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19869,18100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529D5" w:rsidRDefault="003168EA" w:rsidP="0017767A">
            <w:pPr>
              <w:jc w:val="center"/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7054F6" w:rsidRDefault="003168EA" w:rsidP="0017767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225886,46430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382F68">
              <w:rPr>
                <w:sz w:val="24"/>
                <w:szCs w:val="24"/>
              </w:rPr>
              <w:t>222397,72277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jc w:val="center"/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2249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2249,75000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2355,34000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554</w:t>
            </w: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  <w:r w:rsidRPr="00D56CC5">
              <w:rPr>
                <w:sz w:val="24"/>
                <w:szCs w:val="24"/>
              </w:rPr>
              <w:t>2449,55400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1254,16000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  <w:r w:rsidRPr="00104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,67000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1288,67000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  <w:r w:rsidRPr="001464F3">
              <w:rPr>
                <w:sz w:val="24"/>
                <w:szCs w:val="24"/>
              </w:rPr>
              <w:t>1340,21600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14687,21200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14687,21200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</w:t>
            </w:r>
            <w:r w:rsidRPr="00A80C1D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самоуправления.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публикаций в федеральных, региональных, областных печатных и электронных СМИ.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112,0000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самоуправления,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выпуска и распространения </w:t>
            </w:r>
            <w:proofErr w:type="spellStart"/>
            <w:r w:rsidRPr="00A80C1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возмещению </w:t>
            </w:r>
            <w:r w:rsidRPr="00A80C1D">
              <w:rPr>
                <w:rFonts w:ascii="Times New Roman" w:hAnsi="Times New Roman" w:cs="Times New Roman"/>
                <w:iCs/>
                <w:sz w:val="20"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21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120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693AD2" w:rsidTr="0017767A">
        <w:trPr>
          <w:trHeight w:val="34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5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168EA" w:rsidRPr="00363CDC" w:rsidRDefault="003168EA" w:rsidP="003168EA">
      <w:pPr>
        <w:spacing w:after="200" w:line="276" w:lineRule="auto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4F27AB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szCs w:val="24"/>
        </w:rPr>
      </w:pPr>
      <w:bookmarkStart w:id="13" w:name="_Toc130458696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4</w:t>
      </w:r>
      <w:r w:rsidRPr="004F27AB">
        <w:rPr>
          <w:rFonts w:ascii="Times New Roman" w:hAnsi="Times New Roman" w:cs="Times New Roman"/>
          <w:b/>
          <w:caps/>
          <w:sz w:val="24"/>
        </w:rPr>
        <w:t>. Сведения о фактических расходах на реализацию муниципальной программы</w:t>
      </w:r>
      <w:bookmarkEnd w:id="13"/>
    </w:p>
    <w:p w:rsidR="003168EA" w:rsidRDefault="003168EA" w:rsidP="003168EA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7"/>
        <w:gridCol w:w="6"/>
        <w:gridCol w:w="2523"/>
        <w:gridCol w:w="28"/>
        <w:gridCol w:w="1276"/>
        <w:gridCol w:w="106"/>
        <w:gridCol w:w="1453"/>
        <w:gridCol w:w="51"/>
        <w:gridCol w:w="1508"/>
        <w:gridCol w:w="15"/>
        <w:gridCol w:w="1545"/>
        <w:gridCol w:w="154"/>
        <w:gridCol w:w="1405"/>
        <w:gridCol w:w="100"/>
        <w:gridCol w:w="1176"/>
      </w:tblGrid>
      <w:tr w:rsidR="003168EA" w:rsidRPr="00007003" w:rsidTr="0017767A">
        <w:trPr>
          <w:trHeight w:val="145"/>
        </w:trPr>
        <w:tc>
          <w:tcPr>
            <w:tcW w:w="3323" w:type="dxa"/>
            <w:gridSpan w:val="2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gridSpan w:val="2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13" w:type="dxa"/>
            <w:gridSpan w:val="10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3168EA" w:rsidRPr="00007003" w:rsidTr="0017767A">
        <w:trPr>
          <w:trHeight w:val="145"/>
        </w:trPr>
        <w:tc>
          <w:tcPr>
            <w:tcW w:w="3323" w:type="dxa"/>
            <w:gridSpan w:val="2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168EA" w:rsidRPr="00007003" w:rsidRDefault="003168EA" w:rsidP="0017767A">
            <w:pPr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168EA" w:rsidRPr="00007003" w:rsidTr="0017767A">
        <w:trPr>
          <w:trHeight w:val="145"/>
        </w:trPr>
        <w:tc>
          <w:tcPr>
            <w:tcW w:w="3323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48"/>
            <w:bookmarkEnd w:id="14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249"/>
            <w:bookmarkEnd w:id="15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253"/>
            <w:bookmarkEnd w:id="16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14916,59997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AE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C2EEC">
              <w:rPr>
                <w:sz w:val="24"/>
                <w:szCs w:val="24"/>
              </w:rPr>
              <w:t>20215,30300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информационных </w:t>
            </w: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081</w:t>
            </w:r>
            <w:r w:rsidRPr="00611D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839</w:t>
            </w:r>
            <w:r w:rsidRPr="00611DB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22291,91400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11DBA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167980,93830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9B71B5" w:rsidRDefault="003168EA" w:rsidP="0017767A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22353" w:rsidRDefault="003168EA" w:rsidP="0017767A">
            <w:pPr>
              <w:jc w:val="center"/>
              <w:rPr>
                <w:sz w:val="24"/>
                <w:szCs w:val="24"/>
              </w:rPr>
            </w:pPr>
            <w:r w:rsidRPr="001E28F4">
              <w:rPr>
                <w:sz w:val="24"/>
                <w:szCs w:val="24"/>
              </w:rPr>
              <w:t>164492,19677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2600">
              <w:rPr>
                <w:b/>
                <w:color w:val="000000"/>
                <w:sz w:val="24"/>
                <w:szCs w:val="24"/>
              </w:rPr>
              <w:t xml:space="preserve">Фактические расходы на реализацию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до</w:t>
            </w:r>
            <w:r w:rsidRPr="00880D11">
              <w:rPr>
                <w:b/>
                <w:color w:val="000000"/>
                <w:sz w:val="24"/>
                <w:szCs w:val="24"/>
              </w:rPr>
              <w:t xml:space="preserve"> 2022 года включительно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2E87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jc w:val="center"/>
              <w:rPr>
                <w:color w:val="000000"/>
                <w:sz w:val="24"/>
                <w:szCs w:val="24"/>
              </w:rPr>
            </w:pPr>
            <w:r w:rsidRPr="009F47B9">
              <w:rPr>
                <w:color w:val="000000"/>
                <w:sz w:val="24"/>
                <w:szCs w:val="24"/>
              </w:rPr>
              <w:t>41735,77833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5768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39485,77833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2F48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87585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13935,99500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13935,99500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3932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2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17696,58900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732F48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122668,87884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1">
              <w:rPr>
                <w:rFonts w:ascii="Times New Roman" w:hAnsi="Times New Roman" w:cs="Times New Roman"/>
                <w:sz w:val="24"/>
                <w:szCs w:val="24"/>
              </w:rPr>
              <w:t>121878,95384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B27822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027D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6073C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D37D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</w:t>
            </w: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464,29000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2480,90000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2480,90000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8729E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включительно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D6">
              <w:rPr>
                <w:rFonts w:ascii="Times New Roman" w:hAnsi="Times New Roman" w:cs="Times New Roman"/>
                <w:sz w:val="24"/>
                <w:szCs w:val="24"/>
              </w:rPr>
              <w:t>167980,93830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4">
              <w:rPr>
                <w:rFonts w:ascii="Times New Roman" w:hAnsi="Times New Roman" w:cs="Times New Roman"/>
                <w:sz w:val="24"/>
                <w:szCs w:val="24"/>
              </w:rPr>
              <w:t>3488,74153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FB31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4">
              <w:rPr>
                <w:rFonts w:ascii="Times New Roman" w:hAnsi="Times New Roman" w:cs="Times New Roman"/>
                <w:sz w:val="24"/>
                <w:szCs w:val="24"/>
              </w:rPr>
              <w:t>164492,19677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8729E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</w:t>
            </w: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2023 года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 xml:space="preserve">«Электронный </w:t>
            </w:r>
            <w:r w:rsidRPr="00880D11">
              <w:rPr>
                <w:b/>
                <w:sz w:val="24"/>
                <w:szCs w:val="24"/>
              </w:rPr>
              <w:lastRenderedPageBreak/>
              <w:t>муниципалитет»</w:t>
            </w:r>
          </w:p>
          <w:p w:rsidR="003168EA" w:rsidRPr="005C3EC0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D56CC5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464F3" w:rsidRDefault="003168EA" w:rsidP="00177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10438A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880D11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ED56B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освещения в печатных и электронных СМИ, в сети Интернет деятельности органов местного самоуправления.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публикаций в федеральных, региональных, областных печатных и электронных СМИ.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самоуправления,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выпуска и распространения </w:t>
            </w:r>
            <w:proofErr w:type="spellStart"/>
            <w:r w:rsidRPr="00A80C1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A80C1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F3AD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80C1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80C1D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1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80C1D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A418CC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B40C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A418C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007003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007003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8EA" w:rsidRPr="005A46CB" w:rsidTr="0017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977F97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A" w:rsidRPr="0042723E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5A46CB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168EA" w:rsidRDefault="003168EA" w:rsidP="003168EA"/>
    <w:p w:rsidR="003168EA" w:rsidRPr="00314C39" w:rsidRDefault="003168EA" w:rsidP="003168EA">
      <w:pPr>
        <w:spacing w:after="200" w:line="276" w:lineRule="auto"/>
        <w:jc w:val="right"/>
        <w:rPr>
          <w:sz w:val="24"/>
          <w:szCs w:val="24"/>
          <w:lang w:val="en-US"/>
        </w:rPr>
      </w:pPr>
      <w:r>
        <w:br w:type="page"/>
      </w: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5</w:t>
      </w:r>
    </w:p>
    <w:p w:rsidR="003168EA" w:rsidRPr="00363CDC" w:rsidRDefault="003168EA" w:rsidP="003168E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168EA" w:rsidRPr="00363CDC" w:rsidRDefault="003168EA" w:rsidP="003168E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2014-2025 годы»</w:t>
      </w:r>
    </w:p>
    <w:p w:rsidR="003168EA" w:rsidRPr="004F27AB" w:rsidRDefault="003168EA" w:rsidP="00316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7" w:name="_Toc130458697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 w:rsidRPr="00314C39">
        <w:rPr>
          <w:rFonts w:ascii="Times New Roman" w:hAnsi="Times New Roman" w:cs="Times New Roman"/>
          <w:b/>
          <w:caps/>
          <w:sz w:val="24"/>
        </w:rPr>
        <w:t>5</w:t>
      </w:r>
      <w:r w:rsidRPr="004F27AB">
        <w:rPr>
          <w:rFonts w:ascii="Times New Roman" w:hAnsi="Times New Roman" w:cs="Times New Roman"/>
          <w:b/>
          <w:caps/>
          <w:sz w:val="24"/>
        </w:rPr>
        <w:t xml:space="preserve">. </w:t>
      </w:r>
      <w:r w:rsidRPr="00314C39">
        <w:rPr>
          <w:rFonts w:ascii="Times New Roman" w:hAnsi="Times New Roman" w:cs="Times New Roman"/>
          <w:b/>
          <w:caps/>
          <w:sz w:val="24"/>
        </w:rPr>
        <w:t xml:space="preserve">Детальный план реализации муниципальной программы </w:t>
      </w:r>
      <w:r>
        <w:rPr>
          <w:rFonts w:ascii="Times New Roman" w:hAnsi="Times New Roman" w:cs="Times New Roman"/>
          <w:b/>
          <w:caps/>
          <w:sz w:val="24"/>
        </w:rPr>
        <w:t>на 2023 год</w:t>
      </w:r>
      <w:bookmarkEnd w:id="17"/>
    </w:p>
    <w:p w:rsidR="003168EA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3168EA" w:rsidRPr="00E96C7D" w:rsidTr="0017767A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C5C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3168EA" w:rsidRPr="00E96C7D" w:rsidTr="0017767A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68EA" w:rsidRPr="00E96C7D" w:rsidTr="0017767A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BB30CB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BB30CB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B30C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30CB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BB30CB">
              <w:rPr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</w:tc>
        <w:tc>
          <w:tcPr>
            <w:tcW w:w="1134" w:type="dxa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DF5633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18491,12200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18491,12200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3503,91000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249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3168EA" w:rsidRPr="00E96C7D" w:rsidTr="0017767A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 развитию технологической 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254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4C5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3684,93000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107,07800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897,63200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организации выпуска и распространения </w:t>
            </w:r>
            <w:proofErr w:type="spellStart"/>
            <w:r w:rsidRPr="00314C39">
              <w:rPr>
                <w:rFonts w:ascii="Times New Roman" w:hAnsi="Times New Roman" w:cs="Times New Roman"/>
                <w:iCs/>
                <w:szCs w:val="22"/>
              </w:rPr>
              <w:t>имиджевой</w:t>
            </w:r>
            <w:proofErr w:type="spellEnd"/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7">
              <w:rPr>
                <w:rFonts w:ascii="Times New Roman" w:hAnsi="Times New Roman" w:cs="Times New Roman"/>
                <w:sz w:val="24"/>
                <w:szCs w:val="24"/>
              </w:rPr>
              <w:t>765,60000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возмещению выпадающих доходов официального издания (газеты) </w:t>
            </w:r>
            <w:r w:rsidRPr="00314C39">
              <w:rPr>
                <w:rFonts w:ascii="Times New Roman" w:hAnsi="Times New Roman" w:cs="Times New Roman"/>
                <w:iCs/>
                <w:szCs w:val="22"/>
              </w:rPr>
              <w:lastRenderedPageBreak/>
              <w:t>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</w:t>
            </w: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2380,00000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314C39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14C39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A" w:rsidRPr="004444C3" w:rsidRDefault="003168EA" w:rsidP="00177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4444C3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</w:t>
            </w:r>
            <w:r w:rsidRPr="004C5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3168EA" w:rsidRPr="00E96C7D" w:rsidTr="0017767A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iCs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4C5C4C"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4C5C4C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8EA" w:rsidRPr="004C5C4C" w:rsidRDefault="003168EA" w:rsidP="00177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C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3168EA" w:rsidRPr="00314C39" w:rsidRDefault="003168EA" w:rsidP="003168E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3168EA" w:rsidRDefault="003168EA" w:rsidP="003168EA">
      <w:pPr>
        <w:jc w:val="both"/>
        <w:rPr>
          <w:sz w:val="24"/>
        </w:rPr>
      </w:pPr>
    </w:p>
    <w:p w:rsidR="00986B56" w:rsidRDefault="00986B56"/>
    <w:sectPr w:rsidR="00986B56" w:rsidSect="0084346A">
      <w:headerReference w:type="default" r:id="rId8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EA" w:rsidRDefault="003168EA" w:rsidP="003168EA">
      <w:r>
        <w:separator/>
      </w:r>
    </w:p>
  </w:endnote>
  <w:endnote w:type="continuationSeparator" w:id="0">
    <w:p w:rsidR="003168EA" w:rsidRDefault="003168EA" w:rsidP="0031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6A" w:rsidRDefault="003C55F0">
    <w:pPr>
      <w:pStyle w:val="a5"/>
      <w:jc w:val="right"/>
    </w:pPr>
    <w:r>
      <w:fldChar w:fldCharType="begin"/>
    </w:r>
    <w:r w:rsidR="003168EA">
      <w:instrText>PAGE   \* MERGEFORMAT</w:instrText>
    </w:r>
    <w:r>
      <w:fldChar w:fldCharType="separate"/>
    </w:r>
    <w:r w:rsidR="0020324C">
      <w:rPr>
        <w:noProof/>
      </w:rPr>
      <w:t>40</w:t>
    </w:r>
    <w:r>
      <w:fldChar w:fldCharType="end"/>
    </w:r>
  </w:p>
  <w:p w:rsidR="0084346A" w:rsidRDefault="002032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EA" w:rsidRDefault="003168EA" w:rsidP="003168EA">
      <w:r>
        <w:separator/>
      </w:r>
    </w:p>
  </w:footnote>
  <w:footnote w:type="continuationSeparator" w:id="0">
    <w:p w:rsidR="003168EA" w:rsidRDefault="003168EA" w:rsidP="0031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3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F27"/>
    <w:multiLevelType w:val="hybridMultilevel"/>
    <w:tmpl w:val="A428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2FC3"/>
    <w:multiLevelType w:val="hybridMultilevel"/>
    <w:tmpl w:val="CE42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a67074-bad4-42ff-80a7-30e4b1e2802d"/>
  </w:docVars>
  <w:rsids>
    <w:rsidRoot w:val="003168E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4D01"/>
    <w:rsid w:val="001D0766"/>
    <w:rsid w:val="001D1B78"/>
    <w:rsid w:val="0020324C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168EA"/>
    <w:rsid w:val="00325614"/>
    <w:rsid w:val="00344061"/>
    <w:rsid w:val="00350109"/>
    <w:rsid w:val="003669CE"/>
    <w:rsid w:val="003B6065"/>
    <w:rsid w:val="003C073C"/>
    <w:rsid w:val="003C4698"/>
    <w:rsid w:val="003C4AD1"/>
    <w:rsid w:val="003C55F0"/>
    <w:rsid w:val="003D05AE"/>
    <w:rsid w:val="003D5E43"/>
    <w:rsid w:val="003F0629"/>
    <w:rsid w:val="004035FE"/>
    <w:rsid w:val="0040422C"/>
    <w:rsid w:val="00422AA7"/>
    <w:rsid w:val="00425BA6"/>
    <w:rsid w:val="00426651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6BDF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68E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68E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168E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8E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68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8E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16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6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16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168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168E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16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168E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168EA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3168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168E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168E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6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3168EA"/>
    <w:rPr>
      <w:color w:val="0000FF"/>
      <w:u w:val="single"/>
    </w:rPr>
  </w:style>
  <w:style w:type="character" w:customStyle="1" w:styleId="14">
    <w:name w:val="Текст выноски Знак1"/>
    <w:uiPriority w:val="99"/>
    <w:rsid w:val="003168E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168E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168E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3168E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168E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168E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68E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3168EA"/>
    <w:rPr>
      <w:b/>
      <w:bCs w:val="0"/>
    </w:rPr>
  </w:style>
  <w:style w:type="paragraph" w:customStyle="1" w:styleId="font5">
    <w:name w:val="font5"/>
    <w:basedOn w:val="a"/>
    <w:rsid w:val="003168E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168E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168E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168E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168E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168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168E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168E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16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16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3168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3168EA"/>
    <w:rPr>
      <w:b/>
      <w:bCs w:val="0"/>
    </w:rPr>
  </w:style>
  <w:style w:type="paragraph" w:customStyle="1" w:styleId="A10">
    <w:name w:val="A_Таблица_Заголовок10"/>
    <w:basedOn w:val="a"/>
    <w:qFormat/>
    <w:rsid w:val="003168E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15"/>
    <w:qFormat/>
    <w:rsid w:val="003168EA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basedOn w:val="a0"/>
    <w:link w:val="af3"/>
    <w:rsid w:val="0031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link w:val="af3"/>
    <w:rsid w:val="003168E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semiHidden/>
    <w:rsid w:val="003168EA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3168E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6">
    <w:name w:val="Текст примечания Знак1"/>
    <w:basedOn w:val="a0"/>
    <w:link w:val="af6"/>
    <w:uiPriority w:val="99"/>
    <w:semiHidden/>
    <w:rsid w:val="00316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3168EA"/>
    <w:rPr>
      <w:rFonts w:ascii="Times New Roman" w:eastAsia="Times New Roman" w:hAnsi="Times New Roman"/>
      <w:b/>
      <w:bCs/>
      <w:sz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168EA"/>
    <w:rPr>
      <w:b/>
      <w:bCs/>
    </w:rPr>
  </w:style>
  <w:style w:type="character" w:customStyle="1" w:styleId="17">
    <w:name w:val="Тема примечания Знак1"/>
    <w:basedOn w:val="16"/>
    <w:link w:val="af8"/>
    <w:uiPriority w:val="99"/>
    <w:semiHidden/>
    <w:rsid w:val="003168EA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3168EA"/>
    <w:pPr>
      <w:keepLines/>
      <w:spacing w:after="120" w:line="259" w:lineRule="auto"/>
      <w:ind w:firstLine="851"/>
      <w:jc w:val="center"/>
      <w:outlineLvl w:val="9"/>
    </w:pPr>
    <w:rPr>
      <w:rFonts w:ascii="Times New Roman" w:eastAsia="Times New Roman" w:hAnsi="Times New Roman" w:cs="Times New Roman"/>
      <w:b w:val="0"/>
      <w:bCs w:val="0"/>
      <w:caps/>
      <w:color w:val="365F91"/>
      <w:kern w:val="0"/>
      <w:sz w:val="24"/>
    </w:rPr>
  </w:style>
  <w:style w:type="paragraph" w:styleId="31">
    <w:name w:val="toc 3"/>
    <w:basedOn w:val="a"/>
    <w:next w:val="a"/>
    <w:autoRedefine/>
    <w:uiPriority w:val="39"/>
    <w:unhideWhenUsed/>
    <w:rsid w:val="003168EA"/>
    <w:pPr>
      <w:spacing w:after="100"/>
      <w:ind w:left="480" w:firstLine="851"/>
      <w:jc w:val="both"/>
    </w:pPr>
    <w:rPr>
      <w:sz w:val="24"/>
    </w:rPr>
  </w:style>
  <w:style w:type="paragraph" w:styleId="18">
    <w:name w:val="toc 1"/>
    <w:basedOn w:val="a"/>
    <w:next w:val="a"/>
    <w:autoRedefine/>
    <w:uiPriority w:val="39"/>
    <w:unhideWhenUsed/>
    <w:rsid w:val="003168E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168EA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316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9820</Words>
  <Characters>55980</Characters>
  <Application>Microsoft Office Word</Application>
  <DocSecurity>0</DocSecurity>
  <Lines>466</Lines>
  <Paragraphs>131</Paragraphs>
  <ScaleCrop>false</ScaleCrop>
  <Company>  </Company>
  <LinksUpToDate>false</LinksUpToDate>
  <CharactersWithSpaces>65669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2023-03-29T08:40:00Z</dcterms:created>
  <dcterms:modified xsi:type="dcterms:W3CDTF">2023-10-04T14:11:00Z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0ba67074-bad4-42ff-80a7-30e4b1e2802d</vt:lpwstr>
  </property>
</Properties>
</file>